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255A" w14:textId="77777777" w:rsidR="0024031A" w:rsidRPr="0024031A" w:rsidRDefault="0024031A" w:rsidP="0024031A">
      <w:pPr>
        <w:pStyle w:val="DocumentHeading"/>
        <w:spacing w:line="240" w:lineRule="auto"/>
        <w:rPr>
          <w:sz w:val="48"/>
          <w:szCs w:val="48"/>
        </w:rPr>
      </w:pPr>
      <w:r w:rsidRPr="0024031A">
        <w:rPr>
          <w:sz w:val="48"/>
          <w:szCs w:val="48"/>
        </w:rPr>
        <w:t>An Economic Analysis of Improving NUE for sugarcane crops with constrained yield potential</w:t>
      </w:r>
    </w:p>
    <w:p w14:paraId="6276CFC6" w14:textId="77777777" w:rsidR="0024031A" w:rsidRPr="00D64FA3" w:rsidRDefault="0024031A" w:rsidP="0024031A">
      <w:pPr>
        <w:pStyle w:val="BodyCopy"/>
        <w:rPr>
          <w:b/>
          <w:bCs/>
          <w:sz w:val="22"/>
          <w:szCs w:val="32"/>
        </w:rPr>
      </w:pPr>
      <w:r w:rsidRPr="00D64FA3">
        <w:rPr>
          <w:b/>
          <w:bCs/>
          <w:sz w:val="22"/>
          <w:szCs w:val="32"/>
        </w:rPr>
        <w:t>Project 2015/065</w:t>
      </w:r>
    </w:p>
    <w:p w14:paraId="1C8CB94E" w14:textId="372F4091" w:rsidR="0024031A" w:rsidRDefault="0024031A" w:rsidP="0024031A">
      <w:pPr>
        <w:pStyle w:val="BodyCopy"/>
      </w:pPr>
      <w:r w:rsidRPr="00D64FA3">
        <w:rPr>
          <w:b/>
          <w:bCs/>
        </w:rPr>
        <w:t>Chief Investigator</w:t>
      </w:r>
      <w:r>
        <w:br/>
        <w:t>Danielle Skocaj, Principal Researcher, Sugar Research Australia Ltd</w:t>
      </w:r>
    </w:p>
    <w:p w14:paraId="2ACCD09F" w14:textId="5EDC011A" w:rsidR="009E7CC2" w:rsidRPr="009E7CC2" w:rsidRDefault="009E7CC2" w:rsidP="0024031A">
      <w:pPr>
        <w:pStyle w:val="BodyCopy"/>
        <w:rPr>
          <w:i/>
          <w:iCs/>
        </w:rPr>
      </w:pPr>
      <w:r w:rsidRPr="009E7CC2">
        <w:rPr>
          <w:rFonts w:eastAsia="Times New Roman"/>
          <w:i/>
          <w:iCs/>
          <w:color w:val="201F1E"/>
          <w:shd w:val="clear" w:color="auto" w:fill="FFFFFF"/>
        </w:rPr>
        <w:t xml:space="preserve">Evaluation completed by </w:t>
      </w:r>
      <w:proofErr w:type="spellStart"/>
      <w:r w:rsidRPr="009E7CC2">
        <w:rPr>
          <w:rFonts w:eastAsia="Times New Roman"/>
          <w:i/>
          <w:iCs/>
          <w:color w:val="201F1E"/>
          <w:shd w:val="clear" w:color="auto" w:fill="FFFFFF"/>
        </w:rPr>
        <w:t>AgTrans</w:t>
      </w:r>
      <w:proofErr w:type="spellEnd"/>
    </w:p>
    <w:p w14:paraId="5DADAEC4" w14:textId="77777777" w:rsidR="0024031A" w:rsidRDefault="0024031A" w:rsidP="0024031A">
      <w:pPr>
        <w:pStyle w:val="Heading1"/>
      </w:pPr>
      <w:r>
        <w:t xml:space="preserve">Introduction </w:t>
      </w:r>
    </w:p>
    <w:p w14:paraId="6B166F57" w14:textId="45C4F88C" w:rsidR="0024031A" w:rsidRDefault="0024031A" w:rsidP="0024031A">
      <w:pPr>
        <w:pStyle w:val="BodyCopy"/>
      </w:pPr>
      <w:r>
        <w:t>The following impact assessment has been carried out using the guidelines produced by the Council of Research and Development Corporations (CRRDC) (CRRDC, 2018)</w:t>
      </w:r>
      <w:r w:rsidR="00725308">
        <w:t xml:space="preserve">. </w:t>
      </w:r>
      <w:r>
        <w:t xml:space="preserve"> </w:t>
      </w:r>
    </w:p>
    <w:p w14:paraId="56BA4A26" w14:textId="77777777" w:rsidR="0024031A" w:rsidRDefault="0024031A" w:rsidP="0024031A">
      <w:pPr>
        <w:pStyle w:val="Heading1"/>
      </w:pPr>
      <w:r>
        <w:t>Background</w:t>
      </w:r>
    </w:p>
    <w:p w14:paraId="0BA5FF5F" w14:textId="0A66C14E" w:rsidR="0024031A" w:rsidRDefault="0024031A" w:rsidP="0024031A">
      <w:pPr>
        <w:pStyle w:val="BodyCopy"/>
      </w:pPr>
      <w:r>
        <w:t xml:space="preserve">Elevated levels of dissolved inorganic nitrogen (DIN) from agriculture, primarily sugarcane production, has been identified as a significant contributor to the deterioration in water quality entering the Great Barrier Reef (GBR) lagoon. Catchment modelling has indicated that it would be difficult to achieve the water quality target of a 50% reduction in DIN levels by 2018 (Brodie, et al., 2017), even with full adoption of current best practice nitrogen (N) management. </w:t>
      </w:r>
    </w:p>
    <w:p w14:paraId="67588238" w14:textId="2312896E" w:rsidR="0024031A" w:rsidRDefault="0024031A" w:rsidP="0024031A">
      <w:pPr>
        <w:pStyle w:val="BodyCopy"/>
      </w:pPr>
      <w:r>
        <w:t xml:space="preserve">It is widely recognized that the demand for N in a crop is determined by the size of the crop and the fundamental efficiency with which that crop produces a unit of biomass or harvested product from a kg of acquired N (N use efficiency – NUE) (Bell, 2014). Improving NUE in sugarcane has been identified as a critical component for the economic and environmental sustainability of the industry. </w:t>
      </w:r>
    </w:p>
    <w:p w14:paraId="49887FAD" w14:textId="77777777" w:rsidR="0024031A" w:rsidRDefault="0024031A" w:rsidP="0024031A">
      <w:pPr>
        <w:pStyle w:val="BodyCopy"/>
      </w:pPr>
      <w:r>
        <w:t xml:space="preserve">Research outputs that enable a reduction in N rates without compromising profitability, and that can be rapidly adopted to help deliver reductions in N losses from sugarcane production, especially in the Wet Tropics and Central regions of Queensland (Qld) were urgently required. Increases in NUE can result from: </w:t>
      </w:r>
    </w:p>
    <w:p w14:paraId="1496E7D1" w14:textId="3083E7F2" w:rsidR="0024031A" w:rsidRDefault="0024031A" w:rsidP="0024031A">
      <w:pPr>
        <w:pStyle w:val="ListParagraph"/>
      </w:pPr>
      <w:r>
        <w:t xml:space="preserve">the same yield being produced with less fertiliser, </w:t>
      </w:r>
    </w:p>
    <w:p w14:paraId="7C47F9D7" w14:textId="036881FE" w:rsidR="0024031A" w:rsidRDefault="0024031A" w:rsidP="0024031A">
      <w:pPr>
        <w:pStyle w:val="ListParagraph"/>
      </w:pPr>
      <w:r>
        <w:t>a higher yield being produced with less fertiliser, or,</w:t>
      </w:r>
    </w:p>
    <w:p w14:paraId="2D4D76F8" w14:textId="32D62520" w:rsidR="0024031A" w:rsidRDefault="0024031A" w:rsidP="0024031A">
      <w:pPr>
        <w:pStyle w:val="ListParagraph"/>
      </w:pPr>
      <w:r>
        <w:t xml:space="preserve">a higher yield being produced with the same amount of fertiliser. </w:t>
      </w:r>
    </w:p>
    <w:p w14:paraId="3455E427" w14:textId="0E7BF5A4" w:rsidR="0024031A" w:rsidRDefault="0024031A" w:rsidP="0024031A">
      <w:pPr>
        <w:pStyle w:val="BodyCopy"/>
        <w:spacing w:before="240"/>
      </w:pPr>
      <w:r>
        <w:t>A good understanding of yield potential at the spatial scale of the productivity/decision-making unit (</w:t>
      </w:r>
      <w:proofErr w:type="gramStart"/>
      <w:r>
        <w:t>i.e.</w:t>
      </w:r>
      <w:proofErr w:type="gramEnd"/>
      <w:r>
        <w:t xml:space="preserve"> farm, several blocks of similar productivity, individual blocks or within-block) where N fertilizer management decisions (rate, form, placement, timing) are made was essential, along with an understanding of how that yield potential varies with seasonal conditions and other factors (Bell, 2014).</w:t>
      </w:r>
    </w:p>
    <w:p w14:paraId="5E1E8076" w14:textId="2EBF8E1A" w:rsidR="0024031A" w:rsidRDefault="0024031A" w:rsidP="0024031A">
      <w:pPr>
        <w:pStyle w:val="BodyCopy"/>
      </w:pPr>
      <w:r>
        <w:t>The 'SIX EASY STEPS</w:t>
      </w:r>
      <w:r>
        <w:rPr>
          <w:rFonts w:cs="Arial"/>
        </w:rPr>
        <w:t>®</w:t>
      </w:r>
      <w:r>
        <w:t xml:space="preserve">' (6ES) nutrient management program for sugarcane has provided the industry with a set of soil and district-specific guidelines to manage N inputs based on a combination of district yield potential (DYP), organic carbon (C) (%) as an indication of soil N mineralisation capacity and a multiplier. In the current 6ES framework, the contribution of N mineralized from soil organic matter available to the crop is based on the soil organic C. However, considering the hugely variable field conditions that occur industry-wide over a </w:t>
      </w:r>
      <w:proofErr w:type="gramStart"/>
      <w:r>
        <w:t>6-12 month</w:t>
      </w:r>
      <w:proofErr w:type="gramEnd"/>
      <w:r>
        <w:t xml:space="preserve"> growth period, it was apparent that using a single, fairly unresponsive indicator of soil organic C was only a first approximation, and there was considerable room for refinement.</w:t>
      </w:r>
    </w:p>
    <w:p w14:paraId="69DEA288" w14:textId="77777777" w:rsidR="0024031A" w:rsidRDefault="0024031A" w:rsidP="0024031A">
      <w:pPr>
        <w:pStyle w:val="BodyCopy"/>
      </w:pPr>
      <w:r>
        <w:lastRenderedPageBreak/>
        <w:t>Project 2015/065 was funded to refine the link between N inputs and crop yield potential to enable growers to better match N fertiliser application rates to the achievable yield potential of a block as influenced by specific soil chemical and physical properties, time of harvest and differences in crop management practices and to enhance steps four and five in the 6ES program.</w:t>
      </w:r>
    </w:p>
    <w:p w14:paraId="1D0E3AA3" w14:textId="77777777" w:rsidR="0024031A" w:rsidRDefault="0024031A" w:rsidP="0024031A">
      <w:pPr>
        <w:pStyle w:val="Heading1"/>
      </w:pPr>
      <w:r>
        <w:t>Project Objectives</w:t>
      </w:r>
    </w:p>
    <w:p w14:paraId="45EC4306" w14:textId="77777777" w:rsidR="0024031A" w:rsidRDefault="0024031A" w:rsidP="0024031A">
      <w:pPr>
        <w:pStyle w:val="BodyCopy"/>
      </w:pPr>
      <w:r>
        <w:t xml:space="preserve">The overall goal of the project was to improve NUE across the Australian sugarcane industry. Specific objectives were: </w:t>
      </w:r>
    </w:p>
    <w:p w14:paraId="13D425C8" w14:textId="67660D69" w:rsidR="0024031A" w:rsidRDefault="0024031A" w:rsidP="0024031A">
      <w:pPr>
        <w:pStyle w:val="NumberedList"/>
      </w:pPr>
      <w:r>
        <w:t xml:space="preserve">Evaluate different N rates for specific soil profile groups (well-drained, poorly drained, </w:t>
      </w:r>
      <w:proofErr w:type="gramStart"/>
      <w:r>
        <w:t>sodic</w:t>
      </w:r>
      <w:proofErr w:type="gramEnd"/>
      <w:r>
        <w:t xml:space="preserve"> and non-sodic duplex)</w:t>
      </w:r>
    </w:p>
    <w:p w14:paraId="4CBA3303" w14:textId="361423AD" w:rsidR="0024031A" w:rsidRDefault="0024031A" w:rsidP="0024031A">
      <w:pPr>
        <w:pStyle w:val="NumberedList"/>
      </w:pPr>
      <w:r>
        <w:t>Determine sugarcane yield and economic response to N for sodic soils</w:t>
      </w:r>
    </w:p>
    <w:p w14:paraId="1E43CD43" w14:textId="335E5399" w:rsidR="0024031A" w:rsidRDefault="0024031A" w:rsidP="0024031A">
      <w:pPr>
        <w:pStyle w:val="NumberedList"/>
      </w:pPr>
      <w:r>
        <w:t>Determine sugarcane yield and economic response to N for poorly drained soils</w:t>
      </w:r>
    </w:p>
    <w:p w14:paraId="2A264EA5" w14:textId="46BC5C47" w:rsidR="0024031A" w:rsidRDefault="0024031A" w:rsidP="0024031A">
      <w:pPr>
        <w:pStyle w:val="NumberedList"/>
      </w:pPr>
      <w:r>
        <w:t>Determine if N rates should be altered for crops harvested late in the season</w:t>
      </w:r>
    </w:p>
    <w:p w14:paraId="1AA3D879" w14:textId="133DA511" w:rsidR="0024031A" w:rsidRDefault="0024031A" w:rsidP="0024031A">
      <w:pPr>
        <w:pStyle w:val="NumberedList"/>
      </w:pPr>
      <w:r>
        <w:t>Assess yield potential constraints for sodic soils</w:t>
      </w:r>
    </w:p>
    <w:p w14:paraId="1AB46D34" w14:textId="447DC3F5" w:rsidR="0024031A" w:rsidRDefault="0024031A" w:rsidP="0024031A">
      <w:pPr>
        <w:pStyle w:val="NumberedList"/>
      </w:pPr>
      <w:r>
        <w:t>Assess yield potential constraints for poorly drained soils</w:t>
      </w:r>
    </w:p>
    <w:p w14:paraId="16CE362A" w14:textId="17D650F8" w:rsidR="0024031A" w:rsidRDefault="0024031A" w:rsidP="0024031A">
      <w:pPr>
        <w:pStyle w:val="NumberedList"/>
      </w:pPr>
      <w:r>
        <w:t>Determine the impact of improved irrigation management on cane yield potential, timing of N uptake and NUE</w:t>
      </w:r>
    </w:p>
    <w:p w14:paraId="0000ADAC" w14:textId="4AA3C4DC" w:rsidR="0024031A" w:rsidRDefault="0024031A" w:rsidP="0024031A">
      <w:pPr>
        <w:pStyle w:val="NumberedList"/>
      </w:pPr>
      <w:r>
        <w:t>Better understand the spatial distribution of soil profile groups with specific yield constraints</w:t>
      </w:r>
    </w:p>
    <w:p w14:paraId="35134CBE" w14:textId="587EDCA5" w:rsidR="0024031A" w:rsidRDefault="0024031A" w:rsidP="0024031A">
      <w:pPr>
        <w:pStyle w:val="NumberedList"/>
      </w:pPr>
      <w:r>
        <w:t>Identify opportunities where NUE can be improved through the mitigation of yield constraints at a block or intra block scale</w:t>
      </w:r>
    </w:p>
    <w:p w14:paraId="4073E3C6" w14:textId="36A32B19" w:rsidR="0024031A" w:rsidRDefault="0024031A" w:rsidP="0024031A">
      <w:pPr>
        <w:pStyle w:val="NumberedList"/>
      </w:pPr>
      <w:r>
        <w:t>Evaluate the potential improvement in NUE that may result from using achievable yield potentials to calculate the N fertiliser requirement</w:t>
      </w:r>
    </w:p>
    <w:p w14:paraId="38F606E3" w14:textId="7D610AA7" w:rsidR="0024031A" w:rsidRDefault="0024031A" w:rsidP="0024031A">
      <w:pPr>
        <w:pStyle w:val="NumberedList"/>
      </w:pPr>
      <w:r>
        <w:t>Develop a set of N guidelines for sodic soils, poorly drained soils and crops harvested late in the season</w:t>
      </w:r>
    </w:p>
    <w:p w14:paraId="5172F1C7" w14:textId="396AE909" w:rsidR="0024031A" w:rsidRDefault="0024031A" w:rsidP="0024031A">
      <w:pPr>
        <w:pStyle w:val="NumberedList"/>
      </w:pPr>
      <w:r>
        <w:t xml:space="preserve">Evaluate N mineralisation in well-drained, poorly drained, </w:t>
      </w:r>
      <w:proofErr w:type="gramStart"/>
      <w:r>
        <w:t>sodic</w:t>
      </w:r>
      <w:proofErr w:type="gramEnd"/>
      <w:r>
        <w:t xml:space="preserve"> and non-sodic duplex soils</w:t>
      </w:r>
    </w:p>
    <w:p w14:paraId="70125ED2" w14:textId="53661C92" w:rsidR="0024031A" w:rsidRDefault="0024031A" w:rsidP="0024031A">
      <w:pPr>
        <w:pStyle w:val="NumberedList"/>
      </w:pPr>
      <w:r>
        <w:t>Provide essential soil profile data for inclusion into the "</w:t>
      </w:r>
      <w:proofErr w:type="spellStart"/>
      <w:r>
        <w:t>HowLeaky</w:t>
      </w:r>
      <w:proofErr w:type="spellEnd"/>
      <w:r>
        <w:t>" water balance and water quality modelling software ‘</w:t>
      </w:r>
    </w:p>
    <w:p w14:paraId="0BCC8159" w14:textId="77777777" w:rsidR="0024031A" w:rsidRDefault="0024031A" w:rsidP="0090527C">
      <w:pPr>
        <w:pStyle w:val="Heading1"/>
      </w:pPr>
      <w:r>
        <w:t>Cost of Investment for Project 2015/065</w:t>
      </w:r>
    </w:p>
    <w:p w14:paraId="4F88DC14" w14:textId="35D96A03" w:rsidR="0024031A" w:rsidRDefault="0024031A" w:rsidP="0024031A">
      <w:pPr>
        <w:pStyle w:val="BodyCopy"/>
      </w:pPr>
      <w:r>
        <w:t>The project was funded from August 2015 to June 2020. Estimates of the total investment by Sugar Research Australia Ltd (SRA), the Department of Environment and Science (DES) and others for the five-year project are provided in Table A1</w:t>
      </w:r>
      <w:r w:rsidR="00725308">
        <w:t xml:space="preserve">. </w:t>
      </w:r>
      <w:r>
        <w:t> </w:t>
      </w:r>
    </w:p>
    <w:p w14:paraId="6917C36E" w14:textId="7442A860" w:rsidR="0024031A" w:rsidRDefault="0024031A" w:rsidP="0024031A">
      <w:pPr>
        <w:pStyle w:val="TableHeading"/>
      </w:pPr>
      <w:r>
        <w:t>Table A1: The Costs of the Investment in Project 2015/065 (nominal $)</w:t>
      </w:r>
    </w:p>
    <w:tbl>
      <w:tblPr>
        <w:tblStyle w:val="SRATable"/>
        <w:tblW w:w="9067" w:type="dxa"/>
        <w:tblLayout w:type="fixed"/>
        <w:tblLook w:val="0000" w:firstRow="0" w:lastRow="0" w:firstColumn="0" w:lastColumn="0" w:noHBand="0" w:noVBand="0"/>
      </w:tblPr>
      <w:tblGrid>
        <w:gridCol w:w="1980"/>
        <w:gridCol w:w="992"/>
        <w:gridCol w:w="2552"/>
        <w:gridCol w:w="2268"/>
        <w:gridCol w:w="1275"/>
      </w:tblGrid>
      <w:tr w:rsidR="0090527C" w:rsidRPr="00E650AA" w14:paraId="24E58554" w14:textId="77777777" w:rsidTr="00825510">
        <w:trPr>
          <w:trHeight w:val="305"/>
        </w:trPr>
        <w:tc>
          <w:tcPr>
            <w:tcW w:w="1980" w:type="dxa"/>
            <w:shd w:val="clear" w:color="auto" w:fill="CBDCE0"/>
          </w:tcPr>
          <w:p w14:paraId="6B75EB93" w14:textId="77777777" w:rsidR="0024031A" w:rsidRPr="00E650AA" w:rsidRDefault="0024031A" w:rsidP="0090527C">
            <w:pPr>
              <w:pStyle w:val="TableDataHeading"/>
            </w:pPr>
            <w:r w:rsidRPr="00E650AA">
              <w:t xml:space="preserve">Year ended June </w:t>
            </w:r>
          </w:p>
        </w:tc>
        <w:tc>
          <w:tcPr>
            <w:tcW w:w="992" w:type="dxa"/>
            <w:shd w:val="clear" w:color="auto" w:fill="CBDCE0"/>
          </w:tcPr>
          <w:p w14:paraId="25DB596B" w14:textId="77777777" w:rsidR="0024031A" w:rsidRPr="00E650AA" w:rsidRDefault="0024031A" w:rsidP="0090527C">
            <w:pPr>
              <w:pStyle w:val="TableDataHeading"/>
            </w:pPr>
            <w:r w:rsidRPr="00E650AA">
              <w:t>DES</w:t>
            </w:r>
            <w:r>
              <w:t xml:space="preserve"> ($)</w:t>
            </w:r>
          </w:p>
        </w:tc>
        <w:tc>
          <w:tcPr>
            <w:tcW w:w="2552" w:type="dxa"/>
            <w:shd w:val="clear" w:color="auto" w:fill="CBDCE0"/>
          </w:tcPr>
          <w:p w14:paraId="6B0230D0" w14:textId="77777777" w:rsidR="0024031A" w:rsidRPr="00E650AA" w:rsidRDefault="0024031A" w:rsidP="0090527C">
            <w:pPr>
              <w:pStyle w:val="TableDataHeading"/>
            </w:pPr>
            <w:r w:rsidRPr="00E650AA">
              <w:t>SRA</w:t>
            </w:r>
            <w:r>
              <w:t xml:space="preserve"> (excluding DES) ($)</w:t>
            </w:r>
          </w:p>
        </w:tc>
        <w:tc>
          <w:tcPr>
            <w:tcW w:w="2268" w:type="dxa"/>
            <w:shd w:val="clear" w:color="auto" w:fill="CBDCE0"/>
          </w:tcPr>
          <w:p w14:paraId="7B2F9AFA" w14:textId="055D1058" w:rsidR="0024031A" w:rsidRPr="00E650AA" w:rsidRDefault="0024031A" w:rsidP="0090527C">
            <w:pPr>
              <w:pStyle w:val="TableDataHeading"/>
            </w:pPr>
            <w:r>
              <w:t>OTHERS</w:t>
            </w:r>
            <w:r w:rsidR="0090527C">
              <w:rPr>
                <w:vertAlign w:val="superscript"/>
              </w:rPr>
              <w:t>*</w:t>
            </w:r>
            <w:r>
              <w:t xml:space="preserve"> (in-kind) ($)</w:t>
            </w:r>
          </w:p>
        </w:tc>
        <w:tc>
          <w:tcPr>
            <w:tcW w:w="1275" w:type="dxa"/>
            <w:shd w:val="clear" w:color="auto" w:fill="CBDCE0"/>
          </w:tcPr>
          <w:p w14:paraId="3E0D7245" w14:textId="71A61BBA" w:rsidR="0024031A" w:rsidRPr="00E650AA" w:rsidRDefault="0024031A" w:rsidP="0090527C">
            <w:pPr>
              <w:pStyle w:val="TableDataHeading"/>
            </w:pPr>
            <w:r w:rsidRPr="00E650AA">
              <w:t>Total</w:t>
            </w:r>
            <w:r>
              <w:t xml:space="preserve"> ($)</w:t>
            </w:r>
          </w:p>
        </w:tc>
      </w:tr>
      <w:tr w:rsidR="00D64FA3" w:rsidRPr="00E650AA" w14:paraId="374B7C6B" w14:textId="77777777" w:rsidTr="00D64FA3">
        <w:trPr>
          <w:trHeight w:val="305"/>
        </w:trPr>
        <w:tc>
          <w:tcPr>
            <w:tcW w:w="1980" w:type="dxa"/>
          </w:tcPr>
          <w:p w14:paraId="1438AD34" w14:textId="77777777" w:rsidR="0024031A" w:rsidRPr="00E650AA" w:rsidRDefault="0024031A" w:rsidP="0090527C">
            <w:pPr>
              <w:pStyle w:val="Tabledata"/>
            </w:pPr>
            <w:r>
              <w:t>2016</w:t>
            </w:r>
          </w:p>
        </w:tc>
        <w:tc>
          <w:tcPr>
            <w:tcW w:w="992" w:type="dxa"/>
          </w:tcPr>
          <w:p w14:paraId="5D595485" w14:textId="77777777" w:rsidR="0024031A" w:rsidRPr="00E650AA" w:rsidRDefault="0024031A" w:rsidP="0090527C">
            <w:pPr>
              <w:pStyle w:val="Tabledata"/>
            </w:pPr>
            <w:r>
              <w:t>137,587</w:t>
            </w:r>
          </w:p>
        </w:tc>
        <w:tc>
          <w:tcPr>
            <w:tcW w:w="2552" w:type="dxa"/>
          </w:tcPr>
          <w:p w14:paraId="470C47BC" w14:textId="77777777" w:rsidR="0024031A" w:rsidRPr="00E650AA" w:rsidRDefault="0024031A" w:rsidP="0090527C">
            <w:pPr>
              <w:pStyle w:val="Tabledata"/>
            </w:pPr>
            <w:r>
              <w:t>87,807</w:t>
            </w:r>
          </w:p>
        </w:tc>
        <w:tc>
          <w:tcPr>
            <w:tcW w:w="2268" w:type="dxa"/>
          </w:tcPr>
          <w:p w14:paraId="3D28D3D5" w14:textId="77777777" w:rsidR="0024031A" w:rsidRDefault="0024031A" w:rsidP="0090527C">
            <w:pPr>
              <w:pStyle w:val="Tabledata"/>
            </w:pPr>
            <w:r>
              <w:t>87,269</w:t>
            </w:r>
          </w:p>
        </w:tc>
        <w:tc>
          <w:tcPr>
            <w:tcW w:w="1275" w:type="dxa"/>
          </w:tcPr>
          <w:p w14:paraId="625378BB" w14:textId="77777777" w:rsidR="0024031A" w:rsidRPr="00E650AA" w:rsidRDefault="0024031A" w:rsidP="0090527C">
            <w:pPr>
              <w:pStyle w:val="Tabledata"/>
            </w:pPr>
            <w:r>
              <w:t>312,663</w:t>
            </w:r>
          </w:p>
        </w:tc>
      </w:tr>
      <w:tr w:rsidR="00D64FA3" w:rsidRPr="00E650AA" w14:paraId="34672429" w14:textId="77777777" w:rsidTr="00D64FA3">
        <w:trPr>
          <w:trHeight w:val="305"/>
        </w:trPr>
        <w:tc>
          <w:tcPr>
            <w:tcW w:w="1980" w:type="dxa"/>
          </w:tcPr>
          <w:p w14:paraId="65F0F095" w14:textId="77777777" w:rsidR="0024031A" w:rsidRPr="00E650AA" w:rsidRDefault="0024031A" w:rsidP="0090527C">
            <w:pPr>
              <w:pStyle w:val="Tabledata"/>
            </w:pPr>
            <w:r>
              <w:t>2017</w:t>
            </w:r>
          </w:p>
        </w:tc>
        <w:tc>
          <w:tcPr>
            <w:tcW w:w="992" w:type="dxa"/>
          </w:tcPr>
          <w:p w14:paraId="674A6A8E" w14:textId="77777777" w:rsidR="0024031A" w:rsidRDefault="0024031A" w:rsidP="0090527C">
            <w:pPr>
              <w:pStyle w:val="Tabledata"/>
            </w:pPr>
            <w:r>
              <w:t>157,957</w:t>
            </w:r>
          </w:p>
        </w:tc>
        <w:tc>
          <w:tcPr>
            <w:tcW w:w="2552" w:type="dxa"/>
          </w:tcPr>
          <w:p w14:paraId="2CE6AF0A" w14:textId="77777777" w:rsidR="0024031A" w:rsidRDefault="0024031A" w:rsidP="0090527C">
            <w:pPr>
              <w:pStyle w:val="Tabledata"/>
            </w:pPr>
            <w:r>
              <w:t>100,808</w:t>
            </w:r>
          </w:p>
        </w:tc>
        <w:tc>
          <w:tcPr>
            <w:tcW w:w="2268" w:type="dxa"/>
          </w:tcPr>
          <w:p w14:paraId="28D5EA3A" w14:textId="77777777" w:rsidR="0024031A" w:rsidRDefault="0024031A" w:rsidP="0090527C">
            <w:pPr>
              <w:pStyle w:val="Tabledata"/>
            </w:pPr>
            <w:r>
              <w:t>100,190</w:t>
            </w:r>
          </w:p>
        </w:tc>
        <w:tc>
          <w:tcPr>
            <w:tcW w:w="1275" w:type="dxa"/>
          </w:tcPr>
          <w:p w14:paraId="31877383" w14:textId="77777777" w:rsidR="0024031A" w:rsidRDefault="0024031A" w:rsidP="0090527C">
            <w:pPr>
              <w:pStyle w:val="Tabledata"/>
            </w:pPr>
            <w:r>
              <w:t>358,955</w:t>
            </w:r>
          </w:p>
        </w:tc>
      </w:tr>
      <w:tr w:rsidR="00D64FA3" w:rsidRPr="00E650AA" w14:paraId="2194F6CB" w14:textId="77777777" w:rsidTr="00D64FA3">
        <w:trPr>
          <w:trHeight w:val="305"/>
        </w:trPr>
        <w:tc>
          <w:tcPr>
            <w:tcW w:w="1980" w:type="dxa"/>
          </w:tcPr>
          <w:p w14:paraId="73E2FBE1" w14:textId="77777777" w:rsidR="0024031A" w:rsidRPr="00E650AA" w:rsidRDefault="0024031A" w:rsidP="0090527C">
            <w:pPr>
              <w:pStyle w:val="Tabledata"/>
            </w:pPr>
            <w:r>
              <w:t>2018</w:t>
            </w:r>
          </w:p>
        </w:tc>
        <w:tc>
          <w:tcPr>
            <w:tcW w:w="992" w:type="dxa"/>
          </w:tcPr>
          <w:p w14:paraId="65E5CF69" w14:textId="77777777" w:rsidR="0024031A" w:rsidRDefault="0024031A" w:rsidP="0090527C">
            <w:pPr>
              <w:pStyle w:val="Tabledata"/>
            </w:pPr>
            <w:r>
              <w:t>175,630</w:t>
            </w:r>
          </w:p>
        </w:tc>
        <w:tc>
          <w:tcPr>
            <w:tcW w:w="2552" w:type="dxa"/>
          </w:tcPr>
          <w:p w14:paraId="3C52E5E8" w14:textId="77777777" w:rsidR="0024031A" w:rsidRDefault="0024031A" w:rsidP="0090527C">
            <w:pPr>
              <w:pStyle w:val="Tabledata"/>
            </w:pPr>
            <w:r>
              <w:t>112,087</w:t>
            </w:r>
          </w:p>
        </w:tc>
        <w:tc>
          <w:tcPr>
            <w:tcW w:w="2268" w:type="dxa"/>
          </w:tcPr>
          <w:p w14:paraId="534ACB4C" w14:textId="77777777" w:rsidR="0024031A" w:rsidRDefault="0024031A" w:rsidP="0090527C">
            <w:pPr>
              <w:pStyle w:val="Tabledata"/>
            </w:pPr>
            <w:r>
              <w:t>111,400</w:t>
            </w:r>
          </w:p>
        </w:tc>
        <w:tc>
          <w:tcPr>
            <w:tcW w:w="1275" w:type="dxa"/>
          </w:tcPr>
          <w:p w14:paraId="77661087" w14:textId="77777777" w:rsidR="0024031A" w:rsidRDefault="0024031A" w:rsidP="0090527C">
            <w:pPr>
              <w:pStyle w:val="Tabledata"/>
            </w:pPr>
            <w:r>
              <w:t>399,117</w:t>
            </w:r>
          </w:p>
        </w:tc>
      </w:tr>
      <w:tr w:rsidR="00D64FA3" w:rsidRPr="00E650AA" w14:paraId="6E894D30" w14:textId="77777777" w:rsidTr="00D64FA3">
        <w:trPr>
          <w:trHeight w:val="305"/>
        </w:trPr>
        <w:tc>
          <w:tcPr>
            <w:tcW w:w="1980" w:type="dxa"/>
          </w:tcPr>
          <w:p w14:paraId="6ACC8503" w14:textId="77777777" w:rsidR="0024031A" w:rsidRPr="00E650AA" w:rsidRDefault="0024031A" w:rsidP="0090527C">
            <w:pPr>
              <w:pStyle w:val="Tabledata"/>
            </w:pPr>
            <w:r>
              <w:t>2019</w:t>
            </w:r>
          </w:p>
        </w:tc>
        <w:tc>
          <w:tcPr>
            <w:tcW w:w="992" w:type="dxa"/>
          </w:tcPr>
          <w:p w14:paraId="4317B7EE" w14:textId="77777777" w:rsidR="0024031A" w:rsidRDefault="0024031A" w:rsidP="0090527C">
            <w:pPr>
              <w:pStyle w:val="Tabledata"/>
            </w:pPr>
            <w:r>
              <w:t>65,948</w:t>
            </w:r>
          </w:p>
        </w:tc>
        <w:tc>
          <w:tcPr>
            <w:tcW w:w="2552" w:type="dxa"/>
          </w:tcPr>
          <w:p w14:paraId="7FF7F867" w14:textId="77777777" w:rsidR="0024031A" w:rsidRDefault="0024031A" w:rsidP="0090527C">
            <w:pPr>
              <w:pStyle w:val="Tabledata"/>
            </w:pPr>
            <w:r>
              <w:t>42,087</w:t>
            </w:r>
          </w:p>
        </w:tc>
        <w:tc>
          <w:tcPr>
            <w:tcW w:w="2268" w:type="dxa"/>
          </w:tcPr>
          <w:p w14:paraId="67018A8A" w14:textId="77777777" w:rsidR="0024031A" w:rsidRDefault="0024031A" w:rsidP="0090527C">
            <w:pPr>
              <w:pStyle w:val="Tabledata"/>
            </w:pPr>
            <w:r>
              <w:t>41,830</w:t>
            </w:r>
          </w:p>
        </w:tc>
        <w:tc>
          <w:tcPr>
            <w:tcW w:w="1275" w:type="dxa"/>
          </w:tcPr>
          <w:p w14:paraId="412CCB8A" w14:textId="77777777" w:rsidR="0024031A" w:rsidRDefault="0024031A" w:rsidP="0090527C">
            <w:pPr>
              <w:pStyle w:val="Tabledata"/>
            </w:pPr>
            <w:r>
              <w:t>149,865</w:t>
            </w:r>
          </w:p>
        </w:tc>
      </w:tr>
      <w:tr w:rsidR="00D64FA3" w:rsidRPr="00E650AA" w14:paraId="3AA04A9F" w14:textId="77777777" w:rsidTr="00D64FA3">
        <w:trPr>
          <w:trHeight w:val="305"/>
        </w:trPr>
        <w:tc>
          <w:tcPr>
            <w:tcW w:w="1980" w:type="dxa"/>
          </w:tcPr>
          <w:p w14:paraId="24632566" w14:textId="77777777" w:rsidR="0024031A" w:rsidRPr="00E650AA" w:rsidRDefault="0024031A" w:rsidP="0090527C">
            <w:pPr>
              <w:pStyle w:val="Tabledata"/>
            </w:pPr>
            <w:r w:rsidRPr="00E650AA">
              <w:t>20</w:t>
            </w:r>
            <w:r>
              <w:t>20</w:t>
            </w:r>
          </w:p>
        </w:tc>
        <w:tc>
          <w:tcPr>
            <w:tcW w:w="992" w:type="dxa"/>
          </w:tcPr>
          <w:p w14:paraId="0A9E7062" w14:textId="77777777" w:rsidR="0024031A" w:rsidRPr="00E650AA" w:rsidRDefault="0024031A" w:rsidP="0090527C">
            <w:pPr>
              <w:pStyle w:val="Tabledata"/>
            </w:pPr>
            <w:r>
              <w:t>60,232</w:t>
            </w:r>
          </w:p>
        </w:tc>
        <w:tc>
          <w:tcPr>
            <w:tcW w:w="2552" w:type="dxa"/>
          </w:tcPr>
          <w:p w14:paraId="7B4A0729" w14:textId="77777777" w:rsidR="0024031A" w:rsidRPr="00E650AA" w:rsidRDefault="0024031A" w:rsidP="0090527C">
            <w:pPr>
              <w:pStyle w:val="Tabledata"/>
            </w:pPr>
            <w:r>
              <w:t>38,440</w:t>
            </w:r>
          </w:p>
        </w:tc>
        <w:tc>
          <w:tcPr>
            <w:tcW w:w="2268" w:type="dxa"/>
          </w:tcPr>
          <w:p w14:paraId="6201AC80" w14:textId="77777777" w:rsidR="0024031A" w:rsidRDefault="0024031A" w:rsidP="0090527C">
            <w:pPr>
              <w:pStyle w:val="Tabledata"/>
            </w:pPr>
            <w:r>
              <w:t>38,204</w:t>
            </w:r>
          </w:p>
        </w:tc>
        <w:tc>
          <w:tcPr>
            <w:tcW w:w="1275" w:type="dxa"/>
          </w:tcPr>
          <w:p w14:paraId="75438709" w14:textId="77777777" w:rsidR="0024031A" w:rsidRPr="00E650AA" w:rsidRDefault="0024031A" w:rsidP="0090527C">
            <w:pPr>
              <w:pStyle w:val="Tabledata"/>
            </w:pPr>
            <w:r>
              <w:t>136,876</w:t>
            </w:r>
          </w:p>
        </w:tc>
      </w:tr>
      <w:tr w:rsidR="00D64FA3" w:rsidRPr="00E650AA" w14:paraId="7618227A" w14:textId="77777777" w:rsidTr="00D64FA3">
        <w:trPr>
          <w:trHeight w:val="305"/>
        </w:trPr>
        <w:tc>
          <w:tcPr>
            <w:tcW w:w="1980" w:type="dxa"/>
          </w:tcPr>
          <w:p w14:paraId="325B9466" w14:textId="77777777" w:rsidR="0024031A" w:rsidRPr="00E650AA" w:rsidRDefault="0024031A" w:rsidP="0090527C">
            <w:pPr>
              <w:pStyle w:val="Tabledata"/>
            </w:pPr>
            <w:r w:rsidRPr="00E650AA">
              <w:t>Total</w:t>
            </w:r>
          </w:p>
        </w:tc>
        <w:tc>
          <w:tcPr>
            <w:tcW w:w="992" w:type="dxa"/>
          </w:tcPr>
          <w:p w14:paraId="7E58D056" w14:textId="77777777" w:rsidR="0024031A" w:rsidRPr="00E650AA" w:rsidRDefault="0024031A" w:rsidP="0090527C">
            <w:pPr>
              <w:pStyle w:val="Tabledata"/>
            </w:pPr>
            <w:r>
              <w:t>597,354</w:t>
            </w:r>
          </w:p>
        </w:tc>
        <w:tc>
          <w:tcPr>
            <w:tcW w:w="2552" w:type="dxa"/>
          </w:tcPr>
          <w:p w14:paraId="303D77CB" w14:textId="77777777" w:rsidR="0024031A" w:rsidRPr="00E650AA" w:rsidRDefault="0024031A" w:rsidP="0090527C">
            <w:pPr>
              <w:pStyle w:val="Tabledata"/>
            </w:pPr>
            <w:r>
              <w:t>381,229</w:t>
            </w:r>
          </w:p>
        </w:tc>
        <w:tc>
          <w:tcPr>
            <w:tcW w:w="2268" w:type="dxa"/>
          </w:tcPr>
          <w:p w14:paraId="412966A9" w14:textId="77777777" w:rsidR="0024031A" w:rsidRDefault="0024031A" w:rsidP="0090527C">
            <w:pPr>
              <w:pStyle w:val="Tabledata"/>
            </w:pPr>
            <w:r>
              <w:t>378,893</w:t>
            </w:r>
          </w:p>
        </w:tc>
        <w:tc>
          <w:tcPr>
            <w:tcW w:w="1275" w:type="dxa"/>
          </w:tcPr>
          <w:p w14:paraId="6C5438E9" w14:textId="77777777" w:rsidR="0024031A" w:rsidRPr="00E650AA" w:rsidRDefault="0024031A" w:rsidP="0090527C">
            <w:pPr>
              <w:pStyle w:val="Tabledata"/>
            </w:pPr>
            <w:r>
              <w:t>1,357,476</w:t>
            </w:r>
          </w:p>
        </w:tc>
      </w:tr>
    </w:tbl>
    <w:p w14:paraId="47110E21" w14:textId="2FF2063E" w:rsidR="0024031A" w:rsidRDefault="0090527C" w:rsidP="0090527C">
      <w:pPr>
        <w:pStyle w:val="Caption"/>
        <w:spacing w:after="0"/>
      </w:pPr>
      <w:r>
        <w:br/>
      </w:r>
      <w:r w:rsidR="0024031A">
        <w:t>Sources: (1) Research project agreement (contract) between SRA and the Research Unit SRA, (2) Deed effected between DES and SRA (2015-2020).</w:t>
      </w:r>
      <w:r>
        <w:br/>
      </w:r>
      <w:r w:rsidR="0024031A" w:rsidRPr="0090527C">
        <w:rPr>
          <w:sz w:val="8"/>
          <w:szCs w:val="12"/>
        </w:rPr>
        <w:t xml:space="preserve"> </w:t>
      </w:r>
    </w:p>
    <w:p w14:paraId="7457DB75" w14:textId="2240C585" w:rsidR="0024031A" w:rsidRDefault="0090527C" w:rsidP="0090527C">
      <w:pPr>
        <w:pStyle w:val="Caption"/>
        <w:spacing w:before="0"/>
      </w:pPr>
      <w:r>
        <w:t>*</w:t>
      </w:r>
      <w:r w:rsidR="0024031A">
        <w:t xml:space="preserve">Other funding partners included the Research Unit SRA, the University of Southern Qld, and </w:t>
      </w:r>
      <w:proofErr w:type="spellStart"/>
      <w:r w:rsidR="0024031A">
        <w:t>Farmacist</w:t>
      </w:r>
      <w:proofErr w:type="spellEnd"/>
      <w:r w:rsidR="0024031A">
        <w:t>.</w:t>
      </w:r>
    </w:p>
    <w:p w14:paraId="698B0D10" w14:textId="72E63D14" w:rsidR="0024031A" w:rsidRDefault="0024031A" w:rsidP="0090527C">
      <w:pPr>
        <w:pStyle w:val="Heading2"/>
      </w:pPr>
      <w:r>
        <w:lastRenderedPageBreak/>
        <w:t xml:space="preserve">Real Investment and Extension Costs  </w:t>
      </w:r>
    </w:p>
    <w:p w14:paraId="16811EDE" w14:textId="47AB247F" w:rsidR="0024031A" w:rsidRDefault="0024031A" w:rsidP="0024031A">
      <w:pPr>
        <w:pStyle w:val="BodyCopy"/>
      </w:pPr>
      <w:r>
        <w:t>For purposes of the investment analysis, the investment costs of all parties were expressed in 2019/20-dollar terms using the Implicit Price Deflator for Gross Domestic Product (ABS, 2020). No additional costs of extension were included because the primary outputs of the project were communicated directly to relevant stakeholders (</w:t>
      </w:r>
      <w:proofErr w:type="gramStart"/>
      <w:r>
        <w:t>e.g.</w:t>
      </w:r>
      <w:proofErr w:type="gramEnd"/>
      <w:r>
        <w:t xml:space="preserve"> the 6ES Advisory Committee) and to industry through a range of channels including presentations, workshops, scientific and industry publications</w:t>
      </w:r>
      <w:r w:rsidR="00725308">
        <w:t xml:space="preserve">. </w:t>
      </w:r>
    </w:p>
    <w:p w14:paraId="308B073C" w14:textId="0FF7C1D1" w:rsidR="0024031A" w:rsidRDefault="0024031A" w:rsidP="0090527C">
      <w:pPr>
        <w:pStyle w:val="Heading2"/>
      </w:pPr>
      <w:r>
        <w:t xml:space="preserve"> Program Management and Administration Costs</w:t>
      </w:r>
    </w:p>
    <w:p w14:paraId="60A15659" w14:textId="77777777" w:rsidR="0024031A" w:rsidRDefault="0024031A" w:rsidP="0024031A">
      <w:pPr>
        <w:pStyle w:val="BodyCopy"/>
      </w:pPr>
      <w:r>
        <w:t>The cost of managing the investment varied according to the source of funds. Estimates of the cost of administration and management of the investment by SRA and DES were added to the total project costs currently appearing in Table A1. The management cost multipliers used were as follows:</w:t>
      </w:r>
    </w:p>
    <w:p w14:paraId="287A6E19" w14:textId="74C1BC40" w:rsidR="0024031A" w:rsidRDefault="0024031A" w:rsidP="0090527C">
      <w:pPr>
        <w:pStyle w:val="Bullets"/>
      </w:pPr>
      <w:r>
        <w:t>SRA: 1.10 (based on the project administration costs recognised in the SRA project agreement)</w:t>
      </w:r>
    </w:p>
    <w:p w14:paraId="21D91F88" w14:textId="5B9618B0" w:rsidR="0024031A" w:rsidRDefault="0024031A" w:rsidP="0024031A">
      <w:pPr>
        <w:pStyle w:val="Bullets"/>
      </w:pPr>
      <w:r>
        <w:t xml:space="preserve">DES: 1.10 </w:t>
      </w:r>
    </w:p>
    <w:p w14:paraId="637B1D40" w14:textId="6A5EF311" w:rsidR="0024031A" w:rsidRDefault="0024031A" w:rsidP="0090527C">
      <w:pPr>
        <w:pStyle w:val="BodyCopy"/>
        <w:spacing w:before="240"/>
      </w:pPr>
      <w:r>
        <w:t>The multipliers are to accommodate the allocation of indirect Research and Development (R&amp;D) expenditure (management and administrative resources) for each organisation across individual projects. This is to ensure the full costs of R&amp;D funding are included as per the CRRDC Guidelines (CRRDC, 2018). The use of multipliers is an accountability item only and does not mean that any of the DES resources granted to SRA are used by SRA to fund project administration or management costs. The DES multiplier applied is to accommodate the resources DES expends in managing the Deed</w:t>
      </w:r>
      <w:r w:rsidR="00725308">
        <w:t xml:space="preserve">. </w:t>
      </w:r>
    </w:p>
    <w:p w14:paraId="38EE4860" w14:textId="377CB5FF" w:rsidR="0024031A" w:rsidRDefault="0024031A" w:rsidP="0024031A">
      <w:pPr>
        <w:pStyle w:val="BodyCopy"/>
      </w:pPr>
      <w:r>
        <w:t xml:space="preserve">Other funding partners included the Research Unit SRA, the University of Southern Qld (USQ), and </w:t>
      </w:r>
      <w:proofErr w:type="spellStart"/>
      <w:r>
        <w:t>Farmacist</w:t>
      </w:r>
      <w:proofErr w:type="spellEnd"/>
      <w:r>
        <w:t xml:space="preserve"> (a private agronomic solutions provider based in Mackay and the Burdekin, North Qld). The management and administration costs for other project partners (‘others’ in Table A1) were assumed to be included already in the contributions appearing in Table A1. </w:t>
      </w:r>
    </w:p>
    <w:p w14:paraId="285B538F" w14:textId="77777777" w:rsidR="0024031A" w:rsidRDefault="0024031A" w:rsidP="0090527C">
      <w:pPr>
        <w:pStyle w:val="Heading1"/>
      </w:pPr>
      <w:r>
        <w:t xml:space="preserve">Activities </w:t>
      </w:r>
    </w:p>
    <w:p w14:paraId="52A14FC4" w14:textId="77777777" w:rsidR="0024031A" w:rsidRDefault="0024031A" w:rsidP="0090527C">
      <w:pPr>
        <w:pStyle w:val="Heading2"/>
      </w:pPr>
      <w:r>
        <w:t>Nitrogen field experiments</w:t>
      </w:r>
    </w:p>
    <w:p w14:paraId="117E0299" w14:textId="483EADD9" w:rsidR="0024031A" w:rsidRDefault="0024031A" w:rsidP="0090527C">
      <w:pPr>
        <w:pStyle w:val="Bullets"/>
      </w:pPr>
      <w:r>
        <w:t>Eight small plot field experiments were established in first ratoon (1R) crops in the Central and Wet Tropics cane growing regions during 2015</w:t>
      </w:r>
      <w:r w:rsidR="00725308">
        <w:t xml:space="preserve">. </w:t>
      </w:r>
      <w:r>
        <w:t xml:space="preserve">Sites C1, C2, C3 and C4 </w:t>
      </w:r>
      <w:proofErr w:type="gramStart"/>
      <w:r>
        <w:t>were located in</w:t>
      </w:r>
      <w:proofErr w:type="gramEnd"/>
      <w:r>
        <w:t xml:space="preserve"> the Mackay district of the Central region and managed by </w:t>
      </w:r>
      <w:proofErr w:type="spellStart"/>
      <w:r>
        <w:t>Farmacist</w:t>
      </w:r>
      <w:proofErr w:type="spellEnd"/>
      <w:r w:rsidR="00725308">
        <w:t xml:space="preserve">. </w:t>
      </w:r>
      <w:r>
        <w:t xml:space="preserve">Sites WT1, WT2, WT3 and WT4 </w:t>
      </w:r>
      <w:proofErr w:type="gramStart"/>
      <w:r>
        <w:t>were located in</w:t>
      </w:r>
      <w:proofErr w:type="gramEnd"/>
      <w:r>
        <w:t xml:space="preserve"> the Tully mill district of the Wet Tropics region and managed by SRA.</w:t>
      </w:r>
    </w:p>
    <w:p w14:paraId="2A366CBE" w14:textId="49E9031F" w:rsidR="0024031A" w:rsidRDefault="0024031A" w:rsidP="0090527C">
      <w:pPr>
        <w:pStyle w:val="Bullets"/>
      </w:pPr>
      <w:r>
        <w:t>For the Central region, sugarcane cultivar Q208A was grown at sites C1, C3 and C4 and cultivar Q240A was grown at site C2</w:t>
      </w:r>
      <w:r w:rsidR="00725308">
        <w:t xml:space="preserve">. </w:t>
      </w:r>
      <w:r>
        <w:t xml:space="preserve"> The experiments were located on the following soil series:</w:t>
      </w:r>
    </w:p>
    <w:p w14:paraId="04F6819B" w14:textId="125FD518" w:rsidR="0024031A" w:rsidRDefault="0024031A" w:rsidP="0090527C">
      <w:pPr>
        <w:pStyle w:val="Bullets"/>
        <w:numPr>
          <w:ilvl w:val="0"/>
          <w:numId w:val="24"/>
        </w:numPr>
        <w:ind w:left="567" w:hanging="283"/>
      </w:pPr>
      <w:r>
        <w:t>C1 - Marian series soil (Chromosol) at Pleystowe,</w:t>
      </w:r>
    </w:p>
    <w:p w14:paraId="7FD6BCD8" w14:textId="76B846F3" w:rsidR="0024031A" w:rsidRDefault="0024031A" w:rsidP="0090527C">
      <w:pPr>
        <w:pStyle w:val="Bullets"/>
        <w:numPr>
          <w:ilvl w:val="0"/>
          <w:numId w:val="24"/>
        </w:numPr>
        <w:ind w:left="567" w:hanging="283"/>
      </w:pPr>
      <w:r>
        <w:t>C2 - Victoria Plains series soil (Vertosol) at Walkerston,</w:t>
      </w:r>
    </w:p>
    <w:p w14:paraId="6C17AABE" w14:textId="4D45CE51" w:rsidR="0024031A" w:rsidRDefault="0024031A" w:rsidP="0090527C">
      <w:pPr>
        <w:pStyle w:val="Bullets"/>
        <w:numPr>
          <w:ilvl w:val="0"/>
          <w:numId w:val="24"/>
        </w:numPr>
        <w:ind w:left="567" w:hanging="283"/>
      </w:pPr>
      <w:r>
        <w:t>C3 - Calen series soil (Sodosol) at Palmyra, and</w:t>
      </w:r>
    </w:p>
    <w:p w14:paraId="62FE3A06" w14:textId="0E199AD6" w:rsidR="0024031A" w:rsidRDefault="0024031A" w:rsidP="0090527C">
      <w:pPr>
        <w:pStyle w:val="Bullets"/>
        <w:numPr>
          <w:ilvl w:val="0"/>
          <w:numId w:val="24"/>
        </w:numPr>
        <w:ind w:left="567" w:hanging="283"/>
      </w:pPr>
      <w:r>
        <w:t>C4 - Sandiford series soil (Sodosol) at Homebush.</w:t>
      </w:r>
    </w:p>
    <w:p w14:paraId="4E04F3E3" w14:textId="53878B1A" w:rsidR="0024031A" w:rsidRDefault="0024031A" w:rsidP="0090527C">
      <w:pPr>
        <w:pStyle w:val="Bullets"/>
      </w:pPr>
      <w:r>
        <w:t>At sites C1-C4 a fully randomised split-block (also referred to as a strip-block) design was used to evaluate crop responsiveness to applied N (0, 75, 100, 150 and 200 kg N/</w:t>
      </w:r>
      <w:proofErr w:type="spellStart"/>
      <w:r>
        <w:t>ha</w:t>
      </w:r>
      <w:proofErr w:type="spellEnd"/>
      <w:r>
        <w:t xml:space="preserve"> N treatments) in well-drained, poorly drained, </w:t>
      </w:r>
      <w:proofErr w:type="gramStart"/>
      <w:r>
        <w:t>sodic</w:t>
      </w:r>
      <w:proofErr w:type="gramEnd"/>
      <w:r>
        <w:t xml:space="preserve"> and non-sodic duplex soils for different water treatments (irrigated and non-irrigated)</w:t>
      </w:r>
      <w:r w:rsidR="00725308">
        <w:t xml:space="preserve">. </w:t>
      </w:r>
      <w:r>
        <w:t>Each treatment was replicated four times.</w:t>
      </w:r>
    </w:p>
    <w:p w14:paraId="2F0D2109" w14:textId="4A0237A3" w:rsidR="0024031A" w:rsidRDefault="0024031A" w:rsidP="0090527C">
      <w:pPr>
        <w:pStyle w:val="Bullets"/>
      </w:pPr>
      <w:r>
        <w:t>For the Wet Tropics region, sugarcane cultivar Q208A was grown at sites WT1 and WT2 and cultivar Q200A was grown at sites WT3 and WT4</w:t>
      </w:r>
      <w:r w:rsidR="00725308">
        <w:t xml:space="preserve">. </w:t>
      </w:r>
      <w:r>
        <w:t xml:space="preserve"> The experiments were located on the following soil series:</w:t>
      </w:r>
    </w:p>
    <w:p w14:paraId="25B91A62" w14:textId="585AAFA2" w:rsidR="0024031A" w:rsidRDefault="0024031A" w:rsidP="0090527C">
      <w:pPr>
        <w:pStyle w:val="Bullets"/>
        <w:numPr>
          <w:ilvl w:val="0"/>
          <w:numId w:val="25"/>
        </w:numPr>
        <w:ind w:left="567" w:hanging="283"/>
      </w:pPr>
      <w:r>
        <w:t>WT1 and WT3 – Tully series soil (Kandosol) at Lower Tully and Euramo,</w:t>
      </w:r>
    </w:p>
    <w:p w14:paraId="4935D959" w14:textId="60AA3DDD" w:rsidR="0024031A" w:rsidRDefault="0024031A" w:rsidP="0090527C">
      <w:pPr>
        <w:pStyle w:val="Bullets"/>
        <w:numPr>
          <w:ilvl w:val="0"/>
          <w:numId w:val="25"/>
        </w:numPr>
        <w:ind w:left="567" w:hanging="283"/>
      </w:pPr>
      <w:r>
        <w:t xml:space="preserve">WT2 – </w:t>
      </w:r>
      <w:proofErr w:type="spellStart"/>
      <w:r>
        <w:t>Timara</w:t>
      </w:r>
      <w:proofErr w:type="spellEnd"/>
      <w:r>
        <w:t xml:space="preserve"> series soil (Hydrosol) at Lower Tully, and</w:t>
      </w:r>
    </w:p>
    <w:p w14:paraId="31E00A91" w14:textId="681639F7" w:rsidR="0024031A" w:rsidRDefault="0024031A" w:rsidP="0090527C">
      <w:pPr>
        <w:pStyle w:val="Bullets"/>
        <w:numPr>
          <w:ilvl w:val="0"/>
          <w:numId w:val="25"/>
        </w:numPr>
        <w:ind w:left="567" w:hanging="283"/>
      </w:pPr>
      <w:r>
        <w:t xml:space="preserve">WT4 – </w:t>
      </w:r>
      <w:proofErr w:type="spellStart"/>
      <w:r>
        <w:t>Coom</w:t>
      </w:r>
      <w:proofErr w:type="spellEnd"/>
      <w:r>
        <w:t xml:space="preserve"> series soil (</w:t>
      </w:r>
      <w:proofErr w:type="spellStart"/>
      <w:r>
        <w:t>Redoxic</w:t>
      </w:r>
      <w:proofErr w:type="spellEnd"/>
      <w:r>
        <w:t xml:space="preserve"> Hydrosol) at Euramo.</w:t>
      </w:r>
    </w:p>
    <w:p w14:paraId="7B023157" w14:textId="4EE076AA" w:rsidR="0024031A" w:rsidRDefault="0024031A" w:rsidP="0090527C">
      <w:pPr>
        <w:pStyle w:val="Bullets"/>
      </w:pPr>
      <w:r>
        <w:t>At sites WT1 and WT2, five rates of N (0, 70, 110, 150 and 190 kg N/ha) were applied to the same plot locations each year as urea within a randomised complete block design layout containing four replicates.</w:t>
      </w:r>
    </w:p>
    <w:p w14:paraId="1E2BE08D" w14:textId="5A155139" w:rsidR="0024031A" w:rsidRDefault="0024031A" w:rsidP="0090527C">
      <w:pPr>
        <w:pStyle w:val="Bullets"/>
      </w:pPr>
      <w:r>
        <w:lastRenderedPageBreak/>
        <w:t>At sites WT3 and WT4, four rates of N (70, 110, 130 and 150 kg N/ha) and two time of harvest treatments (mid-season and late-season) were applied to the same plot locations each year within a fully randomised split-block (also referred to as a strip-block) design layout containing four replicates.</w:t>
      </w:r>
    </w:p>
    <w:p w14:paraId="14524423" w14:textId="085F35F8" w:rsidR="0024031A" w:rsidRDefault="0024031A" w:rsidP="0090527C">
      <w:pPr>
        <w:pStyle w:val="Bullets"/>
      </w:pPr>
      <w:r>
        <w:t>Nutrients other than N were applied at all four sites according to the results of soil tests and using the 6ES nutrient management guidelines for the Wet Tropics region.</w:t>
      </w:r>
    </w:p>
    <w:p w14:paraId="330CAE0F" w14:textId="2F65A1BA" w:rsidR="0024031A" w:rsidRDefault="0024031A" w:rsidP="0090527C">
      <w:pPr>
        <w:pStyle w:val="Bullets"/>
      </w:pPr>
      <w:r>
        <w:t>Composite soil samples were collected from 0-20 cm and 20-40 cm soil depths from all plots intended to receive 0 and 150 kg N/ha for soil chemical and textural analyses.</w:t>
      </w:r>
    </w:p>
    <w:p w14:paraId="087E49E6" w14:textId="48DA94FB" w:rsidR="0024031A" w:rsidRDefault="0024031A" w:rsidP="0090527C">
      <w:pPr>
        <w:pStyle w:val="Bullets"/>
      </w:pPr>
      <w:r>
        <w:t>Composite soil samples for soil mineral N analyses were collected in 20 cm increments to a depth of 80 cm from all plots intended to receive 0 and 150 kg N/ha</w:t>
      </w:r>
      <w:r w:rsidR="00725308">
        <w:t xml:space="preserve">. </w:t>
      </w:r>
      <w:r>
        <w:t xml:space="preserve"> </w:t>
      </w:r>
    </w:p>
    <w:p w14:paraId="6FE5A4DD" w14:textId="07E60AB2" w:rsidR="0024031A" w:rsidRDefault="0024031A" w:rsidP="0090527C">
      <w:pPr>
        <w:pStyle w:val="Bullets"/>
      </w:pPr>
      <w:r>
        <w:t>Samples were collected as follows:</w:t>
      </w:r>
    </w:p>
    <w:p w14:paraId="57F2A7D9" w14:textId="408D6C3B" w:rsidR="0024031A" w:rsidRDefault="0024031A" w:rsidP="006F5FBF">
      <w:pPr>
        <w:pStyle w:val="Bullets"/>
        <w:numPr>
          <w:ilvl w:val="0"/>
          <w:numId w:val="26"/>
        </w:numPr>
        <w:ind w:left="567" w:hanging="294"/>
      </w:pPr>
      <w:r>
        <w:t xml:space="preserve">C1: 2015 (post plant), 23 Dec 2016 (post 1R) and 1 Dec 2017 (post 2R),  </w:t>
      </w:r>
    </w:p>
    <w:p w14:paraId="131E0986" w14:textId="553B3127" w:rsidR="0024031A" w:rsidRDefault="0024031A" w:rsidP="006F5FBF">
      <w:pPr>
        <w:pStyle w:val="Bullets"/>
        <w:numPr>
          <w:ilvl w:val="0"/>
          <w:numId w:val="26"/>
        </w:numPr>
        <w:ind w:left="567" w:hanging="294"/>
      </w:pPr>
      <w:r>
        <w:t>C2: 2015 (post plant), 2016 (post 1R), 27 Sep 2017 (post 2R), 14 Aug 2018 (post 3R) and 5 Sep 2019 (post 4R).</w:t>
      </w:r>
    </w:p>
    <w:p w14:paraId="02601D6B" w14:textId="67D59FC6" w:rsidR="0024031A" w:rsidRDefault="0024031A" w:rsidP="006F5FBF">
      <w:pPr>
        <w:pStyle w:val="Bullets"/>
        <w:numPr>
          <w:ilvl w:val="0"/>
          <w:numId w:val="26"/>
        </w:numPr>
        <w:ind w:left="567" w:hanging="294"/>
      </w:pPr>
      <w:r>
        <w:t>C3: 2015 (post plant), 2016 (post 1R), 10 Oct 2017 (post 2R), 28 Aug 2018 (post 3R) and 26 Jun 2019 (post 4R).</w:t>
      </w:r>
    </w:p>
    <w:p w14:paraId="3C554D24" w14:textId="7AE4D693" w:rsidR="0024031A" w:rsidRDefault="0024031A" w:rsidP="006F5FBF">
      <w:pPr>
        <w:pStyle w:val="Bullets"/>
        <w:numPr>
          <w:ilvl w:val="0"/>
          <w:numId w:val="26"/>
        </w:numPr>
        <w:ind w:left="567" w:hanging="294"/>
      </w:pPr>
      <w:r>
        <w:t>C4: 2015 (post plant), 2016 (post 1R), 8 Nov 2017 (post 2R) and 8 Nov 2018 (post 3R).</w:t>
      </w:r>
    </w:p>
    <w:p w14:paraId="2F7D2B8F" w14:textId="418C3456" w:rsidR="0024031A" w:rsidRDefault="0024031A" w:rsidP="006F5FBF">
      <w:pPr>
        <w:pStyle w:val="Bullets"/>
        <w:numPr>
          <w:ilvl w:val="0"/>
          <w:numId w:val="26"/>
        </w:numPr>
        <w:ind w:left="567" w:hanging="294"/>
      </w:pPr>
      <w:r>
        <w:t>WT1: 13 Oct 2015 (post plant), 7 Nov 2016 (post 1R), 21 Sept 2017 (post 2R), 30 Aug 2018 (post 3R) and 10 Oct 2019 (post 4R).</w:t>
      </w:r>
    </w:p>
    <w:p w14:paraId="6FFCD062" w14:textId="08193506" w:rsidR="0024031A" w:rsidRDefault="0024031A" w:rsidP="006F5FBF">
      <w:pPr>
        <w:pStyle w:val="Bullets"/>
        <w:numPr>
          <w:ilvl w:val="0"/>
          <w:numId w:val="26"/>
        </w:numPr>
        <w:ind w:left="567" w:hanging="294"/>
      </w:pPr>
      <w:r>
        <w:t>WT2: 14 Oct 2015 (post plant), 4 Nov 2016 (post 1R), 25 Sept 2017 (post 2R), 31 Aug 2018 (post 3R) and 10 Oct 2019 (post 4R).</w:t>
      </w:r>
    </w:p>
    <w:p w14:paraId="50D32BB9" w14:textId="77AC85B5" w:rsidR="0024031A" w:rsidRDefault="0024031A" w:rsidP="006F5FBF">
      <w:pPr>
        <w:pStyle w:val="Bullets"/>
        <w:numPr>
          <w:ilvl w:val="0"/>
          <w:numId w:val="26"/>
        </w:numPr>
        <w:ind w:left="567" w:hanging="294"/>
      </w:pPr>
      <w:r>
        <w:t>WT3 and WT4 mid-season: 18 Nov 2015 (post WT3 plant), 4 Nov 2015 (post WT4 plant), 27 Sept 2016 (post 1R), 6 Sept 2017 (post 2R), 30 Aug 2018 (post 3R) and 26 Aug 2019 (post 4R).</w:t>
      </w:r>
    </w:p>
    <w:p w14:paraId="5041363E" w14:textId="7C326243" w:rsidR="0024031A" w:rsidRDefault="0024031A" w:rsidP="006F5FBF">
      <w:pPr>
        <w:pStyle w:val="Bullets"/>
        <w:numPr>
          <w:ilvl w:val="0"/>
          <w:numId w:val="26"/>
        </w:numPr>
        <w:ind w:left="567" w:hanging="294"/>
      </w:pPr>
      <w:r>
        <w:t>WT3 and WT4 late-season: 21 Dec 2015 (post plant), 1 Dec 2016 (post 1R), 29 Nov 2017 (post 2R), 28 Nov 2018 (post 3R) and 20 Nov 2019 (post 4R).</w:t>
      </w:r>
    </w:p>
    <w:p w14:paraId="70CAC0C9" w14:textId="3301CD84" w:rsidR="0024031A" w:rsidRDefault="0024031A" w:rsidP="006F5FBF">
      <w:pPr>
        <w:pStyle w:val="Bullets"/>
      </w:pPr>
      <w:r>
        <w:t>Bulk density was also measured by collecting undistributed soil cores in 5 cm increments to a depth of 100 cm from two locations within each site.</w:t>
      </w:r>
    </w:p>
    <w:p w14:paraId="2D52DE2D" w14:textId="533446A0" w:rsidR="0024031A" w:rsidRDefault="0024031A" w:rsidP="006F5FBF">
      <w:pPr>
        <w:pStyle w:val="Bullets"/>
      </w:pPr>
      <w:r>
        <w:t>Knowledge of the bulk density for the different soil depths sampled allowed nitrate-N and ammonium-N concentrations (mg/kg) to be reported on an area basis (</w:t>
      </w:r>
      <w:proofErr w:type="gramStart"/>
      <w:r>
        <w:t>e.g.</w:t>
      </w:r>
      <w:proofErr w:type="gramEnd"/>
      <w:r>
        <w:t xml:space="preserve"> kg NO3- N/ha, kg NH4+ N/ha) similar to crop N uptake (kg N/ha)</w:t>
      </w:r>
      <w:r w:rsidR="00725308">
        <w:t xml:space="preserve">. </w:t>
      </w:r>
      <w:r>
        <w:t>The mean bulk density values for the four different soil depths (0-20, 20-40, 40-60 and 60-80 cm) were applied to the nitrate-N and ammonium-N concentration results received from the laboratory</w:t>
      </w:r>
      <w:r w:rsidR="00725308">
        <w:t xml:space="preserve">. </w:t>
      </w:r>
      <w:r>
        <w:t xml:space="preserve">This allowed nitrate, </w:t>
      </w:r>
      <w:proofErr w:type="gramStart"/>
      <w:r>
        <w:t>ammonium</w:t>
      </w:r>
      <w:proofErr w:type="gramEnd"/>
      <w:r>
        <w:t xml:space="preserve"> and total mineral N values to be reported as kg NO3- N/ha, kg NH4+ N/ha and total kg mineral N/ha, respectively. Total mineral N was determined by summing the nitrate-N and ammonium-N values.</w:t>
      </w:r>
    </w:p>
    <w:p w14:paraId="5F222143" w14:textId="5A41EC2A" w:rsidR="0024031A" w:rsidRDefault="0024031A" w:rsidP="006F5FBF">
      <w:pPr>
        <w:pStyle w:val="Bullets"/>
      </w:pPr>
      <w:r>
        <w:t>Biomass, crop N uptake and commercial cane sugar (CCS) were measured whilst the sites were being commercially harvested.</w:t>
      </w:r>
    </w:p>
    <w:p w14:paraId="3B62FB08" w14:textId="421A2EE2" w:rsidR="0024031A" w:rsidRDefault="0024031A" w:rsidP="006F5FBF">
      <w:pPr>
        <w:pStyle w:val="Bullets"/>
      </w:pPr>
      <w:r>
        <w:t xml:space="preserve">At sites C1-4, crop biomass was determined at harvesting by hand cutting twenty whole stalks off at ground level, recording the total weight and partitioning the material into </w:t>
      </w:r>
      <w:proofErr w:type="spellStart"/>
      <w:r>
        <w:t>millable</w:t>
      </w:r>
      <w:proofErr w:type="spellEnd"/>
      <w:r>
        <w:t xml:space="preserve"> stalk (MS), green leaves and cabbage (LC) and dead leaves/trash</w:t>
      </w:r>
      <w:r w:rsidR="00725308">
        <w:t xml:space="preserve">. </w:t>
      </w:r>
      <w:r>
        <w:t>The fresh weight of each biomass component was recorded</w:t>
      </w:r>
      <w:r w:rsidR="00725308">
        <w:t xml:space="preserve">. </w:t>
      </w:r>
      <w:r>
        <w:t>These data were then combined with the mechanical harvest data to estimate total crop biomass and LC biomass.</w:t>
      </w:r>
    </w:p>
    <w:p w14:paraId="5F4526C4" w14:textId="68441335" w:rsidR="0024031A" w:rsidRDefault="0024031A" w:rsidP="006F5FBF">
      <w:pPr>
        <w:pStyle w:val="Bullets"/>
      </w:pPr>
      <w:r>
        <w:t>At the time of harvesting, six-MS and six-LC samples also were randomly collected from each plot (C1-4) to determine moisture content and N concentration.</w:t>
      </w:r>
    </w:p>
    <w:p w14:paraId="7AED0444" w14:textId="21E94F85" w:rsidR="0024031A" w:rsidRDefault="0024031A" w:rsidP="006F5FBF">
      <w:pPr>
        <w:pStyle w:val="Bullets"/>
      </w:pPr>
      <w:r>
        <w:t>A cane bin was fitted with load cells operated beside the harvester to collect and record the weight of mechanically harvested material from a 20 m length of row in each plot</w:t>
      </w:r>
      <w:r w:rsidR="00725308">
        <w:t xml:space="preserve">. </w:t>
      </w:r>
      <w:r>
        <w:t>This was used to calculate cane yield</w:t>
      </w:r>
      <w:r w:rsidR="00725308">
        <w:t xml:space="preserve">. </w:t>
      </w:r>
    </w:p>
    <w:p w14:paraId="71C9A773" w14:textId="1B42C96E" w:rsidR="0024031A" w:rsidRDefault="0024031A" w:rsidP="006F5FBF">
      <w:pPr>
        <w:pStyle w:val="Bullets"/>
      </w:pPr>
      <w:r>
        <w:t>For sites WT1-WT4, the total number of stalks in the centre 10 m of rows 3 and 4 of every plot were counted. A total of forty-five consecutive whole stalks were then cut off at ground level from the centre two rows of every plot and the total aboveground biomass weighed</w:t>
      </w:r>
      <w:r w:rsidR="00725308">
        <w:t xml:space="preserve">. </w:t>
      </w:r>
      <w:r>
        <w:t xml:space="preserve">A twenty-stalk subsample was randomly selected from the hand harvested material for partitioning into MS, </w:t>
      </w:r>
      <w:proofErr w:type="gramStart"/>
      <w:r>
        <w:t>LC</w:t>
      </w:r>
      <w:proofErr w:type="gramEnd"/>
      <w:r>
        <w:t xml:space="preserve"> and dead leaves/trash</w:t>
      </w:r>
      <w:r w:rsidR="00725308">
        <w:t xml:space="preserve">. </w:t>
      </w:r>
      <w:r>
        <w:t>The fresh weight of each biomass component was recorded.</w:t>
      </w:r>
    </w:p>
    <w:p w14:paraId="6029E5A1" w14:textId="6878EC3E" w:rsidR="0024031A" w:rsidRDefault="0024031A" w:rsidP="006F5FBF">
      <w:pPr>
        <w:pStyle w:val="Bullets"/>
      </w:pPr>
      <w:r>
        <w:t>At the time of biomass sampling, six-MS and six-LC samples also were randomly collected from each plot to determine moisture content and N concentration.</w:t>
      </w:r>
    </w:p>
    <w:p w14:paraId="425B3F42" w14:textId="78B9E502" w:rsidR="0024031A" w:rsidRDefault="0024031A" w:rsidP="006F5FBF">
      <w:pPr>
        <w:pStyle w:val="Bullets"/>
      </w:pPr>
      <w:r>
        <w:lastRenderedPageBreak/>
        <w:t>Cane yield was determined from the stalk population and biomass sampling results for each site</w:t>
      </w:r>
      <w:r w:rsidR="00725308">
        <w:t xml:space="preserve">. </w:t>
      </w:r>
    </w:p>
    <w:p w14:paraId="4196A4C9" w14:textId="4AF6E959" w:rsidR="0024031A" w:rsidRDefault="0024031A" w:rsidP="006F5FBF">
      <w:pPr>
        <w:pStyle w:val="Bullets"/>
      </w:pPr>
      <w:r>
        <w:t>At the time of biomass sampling, six stalks also were randomly collected from each of the eight plots to determine the CCS content using the standardised near infrared (NIR) methodology</w:t>
      </w:r>
      <w:r w:rsidR="00725308">
        <w:t xml:space="preserve">. </w:t>
      </w:r>
    </w:p>
    <w:p w14:paraId="4B3C9CBE" w14:textId="09EB0C7A" w:rsidR="0024031A" w:rsidRDefault="0024031A" w:rsidP="006F5FBF">
      <w:pPr>
        <w:pStyle w:val="Bullets"/>
      </w:pPr>
      <w:r>
        <w:t>Sugar yields (t sugar/ha) were calculated from the sugarcane yield and CCS values.</w:t>
      </w:r>
    </w:p>
    <w:p w14:paraId="6F560A2D" w14:textId="52D22D65" w:rsidR="0024031A" w:rsidRDefault="0024031A" w:rsidP="006F5FBF">
      <w:pPr>
        <w:pStyle w:val="Bullets"/>
      </w:pPr>
      <w:r>
        <w:t>Nitrogen use efficiency factors calculated for each crop included N utilisation efficiency (</w:t>
      </w:r>
      <w:proofErr w:type="spellStart"/>
      <w:r>
        <w:t>NUtE</w:t>
      </w:r>
      <w:proofErr w:type="spellEnd"/>
      <w:r>
        <w:t>), Fertiliser N uptake efficiency (</w:t>
      </w:r>
      <w:proofErr w:type="spellStart"/>
      <w:r>
        <w:t>NUpEFert</w:t>
      </w:r>
      <w:proofErr w:type="spellEnd"/>
      <w:r>
        <w:t>), Agronomic Efficiency of fertiliser N (</w:t>
      </w:r>
      <w:proofErr w:type="spellStart"/>
      <w:r>
        <w:t>AgronEffFert</w:t>
      </w:r>
      <w:proofErr w:type="spellEnd"/>
      <w:r>
        <w:t>) and Partial Factor Productivity of N (PFPN).</w:t>
      </w:r>
    </w:p>
    <w:p w14:paraId="52D1426E" w14:textId="515704A6" w:rsidR="0024031A" w:rsidRDefault="0024031A" w:rsidP="006F5FBF">
      <w:pPr>
        <w:pStyle w:val="Bullets"/>
      </w:pPr>
      <w:r>
        <w:t>Grower and industry partial economic returns ($/ha) were calculated to account for the cost of N fertiliser, harvesting and levies</w:t>
      </w:r>
      <w:r w:rsidR="00725308">
        <w:t xml:space="preserve">. </w:t>
      </w:r>
    </w:p>
    <w:p w14:paraId="40EE46F5" w14:textId="632D846F" w:rsidR="0024031A" w:rsidRDefault="0024031A" w:rsidP="006F5FBF">
      <w:pPr>
        <w:pStyle w:val="Bullets"/>
      </w:pPr>
      <w:r>
        <w:t xml:space="preserve">A standard cane price formula, using a sugar recovery rate of 0.009, sugar price of $420/t, harvesting and levies cost of $10/t cane and nitrogen cost of $1.66/kg N, was applied to the mean cane yield, </w:t>
      </w:r>
      <w:proofErr w:type="gramStart"/>
      <w:r>
        <w:t>CCS</w:t>
      </w:r>
      <w:proofErr w:type="gramEnd"/>
      <w:r>
        <w:t xml:space="preserve"> and sugar yield data for each treatment.</w:t>
      </w:r>
    </w:p>
    <w:p w14:paraId="10250C68" w14:textId="4E3600D4" w:rsidR="0024031A" w:rsidRDefault="0024031A" w:rsidP="006F5FBF">
      <w:pPr>
        <w:pStyle w:val="Bullets"/>
      </w:pPr>
      <w:r>
        <w:t>The optimum N rate, defined as the N rate corresponding to 95% of the maximum yield, was calculated for each crop from the mean cane yield N response curves. Indication of the variability in cane yield responsiveness to applied N was provided.</w:t>
      </w:r>
    </w:p>
    <w:p w14:paraId="7859BEBB" w14:textId="2C01AC93" w:rsidR="0024031A" w:rsidRDefault="0024031A" w:rsidP="006F5FBF">
      <w:pPr>
        <w:pStyle w:val="Bullets"/>
      </w:pPr>
      <w:r>
        <w:t>Data from sites C1, C2, C3 and C4 were analysed using a strip-plot analysis of variance with water treatment as the horizontal factor and N treatment as the vertical factor when there were differences between irrigation treatments</w:t>
      </w:r>
      <w:r w:rsidR="00725308">
        <w:t xml:space="preserve">. </w:t>
      </w:r>
      <w:r>
        <w:t>Unfortunately, sometimes the interaction between N rate and water treatment could not be analysed due to missing data or no difference in irrigation practices.</w:t>
      </w:r>
    </w:p>
    <w:p w14:paraId="25F6FAAE" w14:textId="5C4BC2FB" w:rsidR="0024031A" w:rsidRDefault="0024031A" w:rsidP="006F5FBF">
      <w:pPr>
        <w:pStyle w:val="Bullets"/>
      </w:pPr>
      <w:r>
        <w:t>A linear mixed model using restricted maximum likelihood was used to analyse the data from sites WT1 and WT2 as the trial design did not sufficiently reduce the spatial variability encountered.</w:t>
      </w:r>
    </w:p>
    <w:p w14:paraId="67CF4A92" w14:textId="0858E811" w:rsidR="0024031A" w:rsidRDefault="0024031A" w:rsidP="0024031A">
      <w:pPr>
        <w:pStyle w:val="Bullets"/>
      </w:pPr>
      <w:r>
        <w:t>Data from sites WT3 and WT4 were analysed using a strip-plot analysis of variance with N treatment as the horizontal factor and harvest time as the vertical factor.</w:t>
      </w:r>
    </w:p>
    <w:p w14:paraId="166CA4D3" w14:textId="77777777" w:rsidR="0024031A" w:rsidRDefault="0024031A" w:rsidP="006F5FBF">
      <w:pPr>
        <w:pStyle w:val="Heading2"/>
      </w:pPr>
      <w:r>
        <w:t>Identifying and managing potential soil constraints</w:t>
      </w:r>
    </w:p>
    <w:p w14:paraId="60FBE7B3" w14:textId="415166BF" w:rsidR="0024031A" w:rsidRDefault="0024031A" w:rsidP="006F5FBF">
      <w:pPr>
        <w:pStyle w:val="Bullets"/>
      </w:pPr>
      <w:r>
        <w:t>Major soils with similar agronomic performance and productivity were identified and categorised for the Mackay district</w:t>
      </w:r>
      <w:r w:rsidR="00725308">
        <w:t xml:space="preserve">. </w:t>
      </w:r>
    </w:p>
    <w:p w14:paraId="3AF4AEF2" w14:textId="4F5A8276" w:rsidR="0024031A" w:rsidRDefault="0024031A" w:rsidP="006F5FBF">
      <w:pPr>
        <w:pStyle w:val="Bullets"/>
      </w:pPr>
      <w:r>
        <w:t>For the Wet Tropics region, major soils in the Tully, South Johnstone and Mulgrave mill areas with similar agronomic performance and productivity were identified and categorised for different climatic conditions.</w:t>
      </w:r>
    </w:p>
    <w:p w14:paraId="57E8497D" w14:textId="1A45D944" w:rsidR="0024031A" w:rsidRDefault="0024031A" w:rsidP="006F5FBF">
      <w:pPr>
        <w:pStyle w:val="Bullets"/>
      </w:pPr>
      <w:r>
        <w:t xml:space="preserve">Soils in the Central region were categorised as major sugarcane growing soils if the production area consisted of more than 1,000 ha. </w:t>
      </w:r>
    </w:p>
    <w:p w14:paraId="05581682" w14:textId="740EEB70" w:rsidR="0024031A" w:rsidRDefault="0024031A" w:rsidP="006F5FBF">
      <w:pPr>
        <w:pStyle w:val="Bullets"/>
      </w:pPr>
      <w:r>
        <w:t>Long-term historical cane productivity records and known production risks or soil constraints (identified from 10 years of geo-referenced soil test results collected from 0-20 cm) were then used to categorise the major soils into agronomic soil groups.</w:t>
      </w:r>
    </w:p>
    <w:p w14:paraId="1F642164" w14:textId="55C42B95" w:rsidR="0024031A" w:rsidRDefault="0024031A" w:rsidP="006F5FBF">
      <w:pPr>
        <w:pStyle w:val="Bullets"/>
      </w:pPr>
      <w:r>
        <w:t>The focus of assessing soil production risks and constraints was largely based on the probability of a soil to be sodic or experience waterlogging.</w:t>
      </w:r>
    </w:p>
    <w:p w14:paraId="5F61BA97" w14:textId="1DEBBB61" w:rsidR="0024031A" w:rsidRDefault="0024031A" w:rsidP="006F5FBF">
      <w:pPr>
        <w:pStyle w:val="Bullets"/>
      </w:pPr>
      <w:r>
        <w:t xml:space="preserve">Major soils were then categorised as having a low, mild, </w:t>
      </w:r>
      <w:proofErr w:type="gramStart"/>
      <w:r>
        <w:t>moderate</w:t>
      </w:r>
      <w:proofErr w:type="gramEnd"/>
      <w:r>
        <w:t xml:space="preserve"> or severe risk of being sodic</w:t>
      </w:r>
      <w:r w:rsidR="00725308">
        <w:t xml:space="preserve">. </w:t>
      </w:r>
      <w:r>
        <w:t>The same categorisations were used to define the propensity to waterlogging of the major soils.</w:t>
      </w:r>
    </w:p>
    <w:p w14:paraId="434014B6" w14:textId="6DACB876" w:rsidR="0024031A" w:rsidRDefault="0024031A" w:rsidP="006F5FBF">
      <w:pPr>
        <w:pStyle w:val="Bullets"/>
      </w:pPr>
      <w:r>
        <w:t>The mean cane yield for each of the major soil types was determined using fourteen years of productivity data from the 2001 to 2014 seasons for the Mackay district.</w:t>
      </w:r>
    </w:p>
    <w:p w14:paraId="0C676C80" w14:textId="0F52AC87" w:rsidR="0024031A" w:rsidRDefault="0024031A" w:rsidP="006F5FBF">
      <w:pPr>
        <w:pStyle w:val="Bullets"/>
      </w:pPr>
      <w:r>
        <w:t>For the Wet Tropics region, four key stages were used to categorise major soils and identify groups of soils with similar agronomic performance under different climatic conditions</w:t>
      </w:r>
      <w:r w:rsidR="00725308">
        <w:t xml:space="preserve">. </w:t>
      </w:r>
      <w:r>
        <w:t>The stages were:</w:t>
      </w:r>
    </w:p>
    <w:p w14:paraId="76BA30EE" w14:textId="17CCA491" w:rsidR="0024031A" w:rsidRDefault="0024031A" w:rsidP="00B60C9D">
      <w:pPr>
        <w:pStyle w:val="Bullets"/>
        <w:numPr>
          <w:ilvl w:val="0"/>
          <w:numId w:val="27"/>
        </w:numPr>
        <w:ind w:left="567" w:hanging="283"/>
      </w:pPr>
      <w:r>
        <w:t>Stage 1 – Collate relevant datasets. This included sourcing information from soil surveys, an agricultural land use suitability assessment, 6ES soil reference booklet for the Johnstone catchment and expert local knowledge</w:t>
      </w:r>
    </w:p>
    <w:p w14:paraId="5FF410C5" w14:textId="28748DCF" w:rsidR="0024031A" w:rsidRDefault="0024031A" w:rsidP="00B60C9D">
      <w:pPr>
        <w:pStyle w:val="Bullets"/>
        <w:numPr>
          <w:ilvl w:val="0"/>
          <w:numId w:val="27"/>
        </w:numPr>
        <w:ind w:left="567" w:hanging="283"/>
      </w:pPr>
      <w:r>
        <w:t>Stage 2 – Identify major sugarcane growing soils. Soils in the Tully and MSF northern coastal (South Johnstone and Mulgrave) mill areas of the Wet Tropics region were categorised as major sugarcane growing soils if the production area represented more than 1% of the respective mill areas</w:t>
      </w:r>
      <w:r w:rsidR="00725308">
        <w:t xml:space="preserve">. </w:t>
      </w:r>
    </w:p>
    <w:p w14:paraId="31344E94" w14:textId="29517665" w:rsidR="0024031A" w:rsidRDefault="0024031A" w:rsidP="00B60C9D">
      <w:pPr>
        <w:pStyle w:val="Bullets"/>
        <w:numPr>
          <w:ilvl w:val="0"/>
          <w:numId w:val="27"/>
        </w:numPr>
        <w:ind w:left="567" w:hanging="283"/>
      </w:pPr>
      <w:r>
        <w:t xml:space="preserve">Stage 3 – Categorise distinguishing soil features. The water holding capacity, propensity to waterlog and presence of a water table for the major soils was qualitatively assessed for wet and dry years, using the </w:t>
      </w:r>
      <w:r>
        <w:lastRenderedPageBreak/>
        <w:t>available resources and expert local knowledge</w:t>
      </w:r>
      <w:r w:rsidR="00725308">
        <w:t xml:space="preserve">. </w:t>
      </w:r>
      <w:r>
        <w:t>The soil N mineralisation potential (based on soil organic carbon content), chemical and physical properties including position in the landscape were also considered.</w:t>
      </w:r>
    </w:p>
    <w:p w14:paraId="3EB744A7" w14:textId="68DB1FC5" w:rsidR="0024031A" w:rsidRDefault="0024031A" w:rsidP="00B60C9D">
      <w:pPr>
        <w:pStyle w:val="Bullets"/>
        <w:numPr>
          <w:ilvl w:val="0"/>
          <w:numId w:val="27"/>
        </w:numPr>
        <w:ind w:left="567" w:hanging="283"/>
      </w:pPr>
      <w:r>
        <w:t>Stage 4 – Develop agronomic soil groups for wet and dry years. The water holding capacity, propensity to waterlog, presence of a water table, N mineralization potential and position in the landscape were used to identify the final soil groups. The major Wet Tropics sugarcane growing soils were classified for wet and dry years given the importance of spring-summer rainfall on cane growth and productivity.</w:t>
      </w:r>
    </w:p>
    <w:p w14:paraId="17D1A00C" w14:textId="35DC5DB9" w:rsidR="0024031A" w:rsidRDefault="0024031A" w:rsidP="00B60C9D">
      <w:pPr>
        <w:pStyle w:val="Bullets"/>
      </w:pPr>
      <w:r>
        <w:t>Differences in productivity between soil groups for wet and dry years was investigated for the Tully mill area using spatially referenced, mill productivity data</w:t>
      </w:r>
      <w:r w:rsidR="00725308">
        <w:t xml:space="preserve">. </w:t>
      </w:r>
      <w:r>
        <w:t>The categorisation of wet and dry years using total spring-summer rainfall was associated with cane yields for the following harvest year.</w:t>
      </w:r>
    </w:p>
    <w:p w14:paraId="5FF5BCFB" w14:textId="5C858771" w:rsidR="0024031A" w:rsidRDefault="0024031A" w:rsidP="00B60C9D">
      <w:pPr>
        <w:pStyle w:val="Bullets"/>
      </w:pPr>
      <w:r>
        <w:t>Boxplots were produced to determine the shift in the distribution of cane and sugar yields between soil groups for each season</w:t>
      </w:r>
      <w:r w:rsidR="00725308">
        <w:t xml:space="preserve">. </w:t>
      </w:r>
    </w:p>
    <w:p w14:paraId="715FD41B" w14:textId="50560508" w:rsidR="0024031A" w:rsidRDefault="0024031A" w:rsidP="00B60C9D">
      <w:pPr>
        <w:pStyle w:val="Bullets"/>
      </w:pPr>
      <w:r>
        <w:t>Boxplots were also produced to examine the shift in distribution of cane and sugar yields among wet and dry years.</w:t>
      </w:r>
    </w:p>
    <w:p w14:paraId="0458F15F" w14:textId="539D4D33" w:rsidR="0024031A" w:rsidRDefault="0024031A" w:rsidP="00B60C9D">
      <w:pPr>
        <w:pStyle w:val="Bullets"/>
      </w:pPr>
      <w:r>
        <w:t>Finally, past regional soil surveys completed were used to determine the spatial distribution of these soil performance groups for wet and dry years.</w:t>
      </w:r>
    </w:p>
    <w:p w14:paraId="633069CE" w14:textId="5806ABE4" w:rsidR="0024031A" w:rsidRDefault="0024031A" w:rsidP="00B60C9D">
      <w:pPr>
        <w:pStyle w:val="Bullets"/>
      </w:pPr>
      <w:r>
        <w:t>A new survey then was undertaken with 17 sugarcane growers in the Central region to identify factors/practices contributing to productivity differences between growers</w:t>
      </w:r>
      <w:r w:rsidR="00725308">
        <w:t xml:space="preserve">. </w:t>
      </w:r>
    </w:p>
    <w:p w14:paraId="5357E8B0" w14:textId="1323363F" w:rsidR="0024031A" w:rsidRDefault="0024031A" w:rsidP="00B60C9D">
      <w:pPr>
        <w:pStyle w:val="Bullets"/>
      </w:pPr>
      <w:r>
        <w:t>Sugarcane growers managing a range of soil types on irrigated and non-irrigated properties were included in the survey</w:t>
      </w:r>
      <w:r w:rsidR="00725308">
        <w:t xml:space="preserve">. </w:t>
      </w:r>
      <w:r>
        <w:t>Survey questions focused on machinery operations, nutrient and chemical management, irrigation scheduling, planting, and harvesting operations.</w:t>
      </w:r>
    </w:p>
    <w:p w14:paraId="6E869482" w14:textId="0BECF0DB" w:rsidR="0024031A" w:rsidRDefault="0024031A" w:rsidP="00B60C9D">
      <w:pPr>
        <w:pStyle w:val="Bullets"/>
      </w:pPr>
      <w:r>
        <w:t>Management practices to mitigate potential soil constraints and improve crop performance for each of the Wet Tropics agronomic soil groups were discussed and identified in combination with experienced local advisory service providers and growers</w:t>
      </w:r>
      <w:r w:rsidR="00725308">
        <w:t xml:space="preserve">. </w:t>
      </w:r>
    </w:p>
    <w:p w14:paraId="3BFC20A2" w14:textId="34F5CC94" w:rsidR="0024031A" w:rsidRDefault="0024031A" w:rsidP="00B60C9D">
      <w:pPr>
        <w:pStyle w:val="Bullets"/>
      </w:pPr>
      <w:r>
        <w:t>Information contained in industry publications was also reviewed and incorporated into the management strategies suggested for each agronomic soil group.</w:t>
      </w:r>
    </w:p>
    <w:p w14:paraId="17BC8F2E" w14:textId="7177B1CE" w:rsidR="0024031A" w:rsidRDefault="0024031A" w:rsidP="0024031A">
      <w:pPr>
        <w:pStyle w:val="Bullets"/>
      </w:pPr>
      <w:r>
        <w:t>The project also received input throughout the project from growers, other researchers, industry and government representatives and some adoption and/or communication activities were undertaken in the form of oral presentations at grower shed meetings, advisor updates, stakeholder workshops and articles in scientific and industry publications.</w:t>
      </w:r>
    </w:p>
    <w:p w14:paraId="37CDA56A" w14:textId="77777777" w:rsidR="0024031A" w:rsidRDefault="0024031A" w:rsidP="00B60C9D">
      <w:pPr>
        <w:pStyle w:val="Heading1"/>
      </w:pPr>
      <w:r>
        <w:t>Key Outputs</w:t>
      </w:r>
    </w:p>
    <w:p w14:paraId="674F94D8" w14:textId="77777777" w:rsidR="0024031A" w:rsidRDefault="0024031A" w:rsidP="00B60C9D">
      <w:pPr>
        <w:pStyle w:val="Heading2"/>
      </w:pPr>
      <w:r>
        <w:t>Nitrogen field experiments</w:t>
      </w:r>
    </w:p>
    <w:p w14:paraId="730E0B4A" w14:textId="330CB56F" w:rsidR="0024031A" w:rsidRDefault="0024031A" w:rsidP="00B60C9D">
      <w:pPr>
        <w:pStyle w:val="Bullets"/>
      </w:pPr>
      <w:r>
        <w:t xml:space="preserve">Central sites (C1-4): </w:t>
      </w:r>
    </w:p>
    <w:p w14:paraId="7CD41A81" w14:textId="017897E0" w:rsidR="0024031A" w:rsidRDefault="0024031A" w:rsidP="00B60C9D">
      <w:pPr>
        <w:pStyle w:val="Bullets"/>
        <w:numPr>
          <w:ilvl w:val="0"/>
          <w:numId w:val="28"/>
        </w:numPr>
        <w:ind w:left="567" w:hanging="294"/>
      </w:pPr>
      <w:r>
        <w:t xml:space="preserve">The climatic conditions experienced throughout the 1R growing season resulted in the 1R crops at all sites producing the highest biomass, yields, N uptake and economic returns. </w:t>
      </w:r>
    </w:p>
    <w:p w14:paraId="7009B42E" w14:textId="36806440" w:rsidR="0024031A" w:rsidRDefault="0024031A" w:rsidP="00B60C9D">
      <w:pPr>
        <w:pStyle w:val="Bullets"/>
        <w:numPr>
          <w:ilvl w:val="0"/>
          <w:numId w:val="28"/>
        </w:numPr>
        <w:ind w:left="567" w:hanging="294"/>
      </w:pPr>
      <w:r>
        <w:t>The 1R crops also tended to have greater NUE because of the higher cane yields and higher fertiliser N recovery</w:t>
      </w:r>
      <w:r w:rsidR="00725308">
        <w:t xml:space="preserve">. </w:t>
      </w:r>
    </w:p>
    <w:p w14:paraId="3F524983" w14:textId="774C78C6" w:rsidR="0024031A" w:rsidRDefault="0024031A" w:rsidP="00B60C9D">
      <w:pPr>
        <w:pStyle w:val="Bullets"/>
        <w:numPr>
          <w:ilvl w:val="0"/>
          <w:numId w:val="28"/>
        </w:numPr>
        <w:ind w:left="567" w:hanging="294"/>
      </w:pPr>
      <w:proofErr w:type="spellStart"/>
      <w:r>
        <w:t>NUpEfert</w:t>
      </w:r>
      <w:proofErr w:type="spellEnd"/>
      <w:r>
        <w:t xml:space="preserve"> was highest in the 1R crop at the well-drained and poorly drained site, 3R crop at sodic site and similar for the 1R and 3R crops at the non-sodic duplex site</w:t>
      </w:r>
      <w:r w:rsidR="00725308">
        <w:t xml:space="preserve">. </w:t>
      </w:r>
    </w:p>
    <w:p w14:paraId="52DB09B8" w14:textId="79947A37" w:rsidR="0024031A" w:rsidRDefault="0024031A" w:rsidP="00B60C9D">
      <w:pPr>
        <w:pStyle w:val="Bullets"/>
        <w:numPr>
          <w:ilvl w:val="0"/>
          <w:numId w:val="28"/>
        </w:numPr>
        <w:ind w:left="567" w:hanging="294"/>
      </w:pPr>
      <w:r>
        <w:t>In the 1R crop, the well-drained site had lower fertiliser N recovery (ranged from 8.9% to 16.3%) compared to the poorly drained site (ranged from 16.9% to 28.0%).</w:t>
      </w:r>
    </w:p>
    <w:p w14:paraId="3810BD99" w14:textId="2F3B5423" w:rsidR="0024031A" w:rsidRDefault="0024031A" w:rsidP="00B60C9D">
      <w:pPr>
        <w:pStyle w:val="Bullets"/>
        <w:numPr>
          <w:ilvl w:val="0"/>
          <w:numId w:val="28"/>
        </w:numPr>
        <w:ind w:left="567" w:hanging="294"/>
      </w:pPr>
      <w:r>
        <w:t>The 2R crops at most sites tended to produce the lowest biomass, yields, N uptake and economic returns. This is because the 2R crops were established under higher rainfall and soil moisture with early summer and early autumn rainfall well above the long-term monthly average.</w:t>
      </w:r>
    </w:p>
    <w:p w14:paraId="754663AE" w14:textId="678FD4BE" w:rsidR="0024031A" w:rsidRDefault="0024031A" w:rsidP="00B60C9D">
      <w:pPr>
        <w:pStyle w:val="Bullets"/>
        <w:numPr>
          <w:ilvl w:val="0"/>
          <w:numId w:val="28"/>
        </w:numPr>
        <w:ind w:left="567" w:hanging="294"/>
      </w:pPr>
      <w:r>
        <w:t xml:space="preserve">Fertiliser N uptake and </w:t>
      </w:r>
      <w:proofErr w:type="spellStart"/>
      <w:r>
        <w:t>NUpEfert</w:t>
      </w:r>
      <w:proofErr w:type="spellEnd"/>
      <w:r>
        <w:t xml:space="preserve"> were poor in most seasons</w:t>
      </w:r>
      <w:r w:rsidR="00725308">
        <w:t xml:space="preserve">. </w:t>
      </w:r>
      <w:r>
        <w:t>This was most evident in the 3R and 4R crops at the poorly drained and sodic sites</w:t>
      </w:r>
      <w:r w:rsidR="00725308">
        <w:t xml:space="preserve">. </w:t>
      </w:r>
      <w:r>
        <w:t>Maximum fertiliser N recovery at the poorly drained site was 13.6% and 16.6% for the 3R and 4R crops, respectively</w:t>
      </w:r>
      <w:r w:rsidR="00725308">
        <w:t xml:space="preserve">. </w:t>
      </w:r>
      <w:r>
        <w:t>At the sodic site, maximum fertiliser N recovery in the 3R and 4R crops was 15.3% and 9.5%, respectively.</w:t>
      </w:r>
    </w:p>
    <w:p w14:paraId="286B06E5" w14:textId="2E745854" w:rsidR="0024031A" w:rsidRDefault="0024031A" w:rsidP="00B60C9D">
      <w:pPr>
        <w:pStyle w:val="Bullets"/>
        <w:numPr>
          <w:ilvl w:val="0"/>
          <w:numId w:val="28"/>
        </w:numPr>
        <w:ind w:left="567" w:hanging="294"/>
      </w:pPr>
      <w:r>
        <w:lastRenderedPageBreak/>
        <w:t xml:space="preserve">In seasons where additional irrigation was applied to the irrigated treatments, fertiliser N uptake and </w:t>
      </w:r>
      <w:proofErr w:type="spellStart"/>
      <w:r>
        <w:t>NUpEfert</w:t>
      </w:r>
      <w:proofErr w:type="spellEnd"/>
      <w:r>
        <w:t xml:space="preserve"> tended to be higher than the rainfed treatment </w:t>
      </w:r>
      <w:proofErr w:type="gramStart"/>
      <w:r>
        <w:t>with the exception of</w:t>
      </w:r>
      <w:proofErr w:type="gramEnd"/>
      <w:r>
        <w:t xml:space="preserve"> the 3R and 4R crops at the poorly drained site and 4R crop at the sodic site.</w:t>
      </w:r>
    </w:p>
    <w:p w14:paraId="2CF43C42" w14:textId="48DC364A" w:rsidR="0024031A" w:rsidRDefault="0024031A" w:rsidP="00B60C9D">
      <w:pPr>
        <w:pStyle w:val="Bullets"/>
        <w:numPr>
          <w:ilvl w:val="0"/>
          <w:numId w:val="28"/>
        </w:numPr>
        <w:ind w:left="567" w:hanging="294"/>
      </w:pPr>
      <w:r>
        <w:t>The calculated optimum N values were not always lower than the 6ES N guidelines</w:t>
      </w:r>
      <w:r w:rsidR="00725308">
        <w:t xml:space="preserve">. </w:t>
      </w:r>
      <w:r>
        <w:t>For example:</w:t>
      </w:r>
    </w:p>
    <w:p w14:paraId="30B88B3E" w14:textId="1524EB07" w:rsidR="0024031A" w:rsidRDefault="0024031A" w:rsidP="00B60C9D">
      <w:pPr>
        <w:pStyle w:val="BodyCopy"/>
        <w:numPr>
          <w:ilvl w:val="0"/>
          <w:numId w:val="29"/>
        </w:numPr>
        <w:ind w:left="851" w:hanging="284"/>
      </w:pPr>
      <w:r>
        <w:t>At the poorly drained site, optimum N for the rainfed treatment was lower than 6ES in the 1R, 2R and 3R crops and slightly higher in the 4R crop. Optimum N for the irrigated treatment matched 6ES in the 1R and 4R crops but was lower in the 3R crop</w:t>
      </w:r>
      <w:r w:rsidR="00725308">
        <w:t xml:space="preserve">. </w:t>
      </w:r>
    </w:p>
    <w:p w14:paraId="32C28624" w14:textId="29137F7C" w:rsidR="0024031A" w:rsidRDefault="0024031A" w:rsidP="00B60C9D">
      <w:pPr>
        <w:pStyle w:val="BodyCopy"/>
        <w:numPr>
          <w:ilvl w:val="0"/>
          <w:numId w:val="29"/>
        </w:numPr>
        <w:ind w:left="851" w:hanging="284"/>
      </w:pPr>
      <w:r>
        <w:t>At the sodic site, optimum N for the rainfed treatment was lower than 6ES in the 1R, 2R and 3R crops but higher in the 4R crop. Optimum N for the irrigated treatment was higher than the 6ES in the 3R but matched 6ES in the 4R</w:t>
      </w:r>
      <w:r w:rsidR="00725308">
        <w:t xml:space="preserve">. </w:t>
      </w:r>
    </w:p>
    <w:p w14:paraId="6BA0EAE4" w14:textId="63714C0F" w:rsidR="0024031A" w:rsidRDefault="0024031A" w:rsidP="00B60C9D">
      <w:pPr>
        <w:pStyle w:val="BodyCopy"/>
        <w:numPr>
          <w:ilvl w:val="0"/>
          <w:numId w:val="29"/>
        </w:numPr>
        <w:ind w:left="851" w:hanging="284"/>
      </w:pPr>
      <w:r>
        <w:t>At the non-sodic duplex site, optimum N for the rainfed treatment was lower than 6ES in the 1R crop, higher in the 2R and matched 6ES in the 3R crop. Optimum N for the irrigated treatment was lower than the 6ES in the 1R and 3R crops but matched 6ES in the 2R.</w:t>
      </w:r>
    </w:p>
    <w:p w14:paraId="1760288A" w14:textId="70863E07" w:rsidR="0024031A" w:rsidRDefault="0024031A" w:rsidP="00B60C9D">
      <w:pPr>
        <w:pStyle w:val="Bullets"/>
        <w:numPr>
          <w:ilvl w:val="0"/>
          <w:numId w:val="30"/>
        </w:numPr>
        <w:ind w:left="567" w:hanging="283"/>
      </w:pPr>
      <w:r>
        <w:t>In seasons where the calculated optimum N valued differed to 6ES, the economic returns were not consistently higher than 6ES.</w:t>
      </w:r>
    </w:p>
    <w:p w14:paraId="5EFFE569" w14:textId="00EF1D78" w:rsidR="0024031A" w:rsidRDefault="0024031A" w:rsidP="00B60C9D">
      <w:pPr>
        <w:pStyle w:val="Bullets"/>
        <w:numPr>
          <w:ilvl w:val="0"/>
          <w:numId w:val="30"/>
        </w:numPr>
        <w:ind w:left="567" w:hanging="283"/>
      </w:pPr>
      <w:r>
        <w:t>Collectively, these results indicate there is potential to refine N rates on poorly drained, sodic, and non-sodic duplex soils in some seasons</w:t>
      </w:r>
      <w:r w:rsidR="00725308">
        <w:t xml:space="preserve">. </w:t>
      </w:r>
      <w:r>
        <w:t>However, seasonal climatic conditions and the interaction with soil properties, including the presence of soil chemical and physical constraints, soil mineral N, position in the landscape and management history (</w:t>
      </w:r>
      <w:proofErr w:type="gramStart"/>
      <w:r>
        <w:t>e.g.</w:t>
      </w:r>
      <w:proofErr w:type="gramEnd"/>
      <w:r>
        <w:t xml:space="preserve"> possible application of mill by-products) make it difficult to identify opportunities where N rates can be refined without compromising productivity or profitability.</w:t>
      </w:r>
    </w:p>
    <w:p w14:paraId="1A10DE97" w14:textId="56E9D6A1" w:rsidR="0024031A" w:rsidRDefault="0024031A" w:rsidP="00B60C9D">
      <w:pPr>
        <w:pStyle w:val="Bullets"/>
      </w:pPr>
      <w:r>
        <w:t>Wet Tropics sites (WT1-WT2):</w:t>
      </w:r>
    </w:p>
    <w:p w14:paraId="1437FA7C" w14:textId="671A0175" w:rsidR="0024031A" w:rsidRDefault="0024031A" w:rsidP="00B60C9D">
      <w:pPr>
        <w:pStyle w:val="Bullets"/>
        <w:numPr>
          <w:ilvl w:val="0"/>
          <w:numId w:val="31"/>
        </w:numPr>
        <w:ind w:left="567" w:hanging="294"/>
      </w:pPr>
      <w:r>
        <w:t>The growing seasons associated with the 1R, 2R, 3R and 4R crops were likened to dry, close to wet, close to wet and wet years, respectively based on the amount of spring and summer rainfall during the project</w:t>
      </w:r>
      <w:r w:rsidR="00725308">
        <w:t xml:space="preserve">. </w:t>
      </w:r>
      <w:r>
        <w:t xml:space="preserve">This corresponded with the highest yields being attained in the 1R crop whereas the lowest yields tended to be associated with the 4R crop at both sites. </w:t>
      </w:r>
    </w:p>
    <w:p w14:paraId="4291204B" w14:textId="5E24D5A3" w:rsidR="0024031A" w:rsidRDefault="0024031A" w:rsidP="00B60C9D">
      <w:pPr>
        <w:pStyle w:val="Bullets"/>
        <w:numPr>
          <w:ilvl w:val="0"/>
          <w:numId w:val="31"/>
        </w:numPr>
        <w:ind w:left="567" w:hanging="294"/>
      </w:pPr>
      <w:r>
        <w:t>The interaction between seasonal climatic conditions and soil type was also evident</w:t>
      </w:r>
      <w:r w:rsidR="00725308">
        <w:t xml:space="preserve">. </w:t>
      </w:r>
      <w:r>
        <w:t>The well-drained WT1 site produced higher fresh and dry biomass, cane and sugar yields and had greater crop N uptake compared to the poorly drained WT2 site in the 1R, 2R and 4R crops.</w:t>
      </w:r>
    </w:p>
    <w:p w14:paraId="5490AE64" w14:textId="0A5DCF96" w:rsidR="0024031A" w:rsidRDefault="0024031A" w:rsidP="00B60C9D">
      <w:pPr>
        <w:pStyle w:val="Bullets"/>
        <w:numPr>
          <w:ilvl w:val="0"/>
          <w:numId w:val="31"/>
        </w:numPr>
        <w:ind w:left="567" w:hanging="294"/>
      </w:pPr>
      <w:r>
        <w:t>Fertiliser NUE factors also reflected the impact of seasonal climatic conditions and interaction between climatic and soil conditions (</w:t>
      </w:r>
      <w:proofErr w:type="gramStart"/>
      <w:r>
        <w:t>e.g.</w:t>
      </w:r>
      <w:proofErr w:type="gramEnd"/>
      <w:r>
        <w:t xml:space="preserve"> inherent soil properties including texture and position in the landscape and total soil mineral N) on crop performance and N uptake</w:t>
      </w:r>
      <w:r w:rsidR="00725308">
        <w:t xml:space="preserve">. </w:t>
      </w:r>
    </w:p>
    <w:p w14:paraId="4D7F27AA" w14:textId="136A5B00" w:rsidR="0024031A" w:rsidRDefault="0024031A" w:rsidP="00B60C9D">
      <w:pPr>
        <w:pStyle w:val="Bullets"/>
        <w:numPr>
          <w:ilvl w:val="0"/>
          <w:numId w:val="31"/>
        </w:numPr>
        <w:ind w:left="567" w:hanging="294"/>
      </w:pPr>
      <w:r>
        <w:t>Fertiliser NUE factors were lowest in the 1R crops at both the well-drained and poorly drained sites. This is because of high soil mineral N, especially at the well-drained sites at the commencement of the 1R crop.</w:t>
      </w:r>
    </w:p>
    <w:p w14:paraId="22218FD5" w14:textId="6CE0E884" w:rsidR="0024031A" w:rsidRDefault="0024031A" w:rsidP="00B60C9D">
      <w:pPr>
        <w:pStyle w:val="Bullets"/>
        <w:numPr>
          <w:ilvl w:val="0"/>
          <w:numId w:val="31"/>
        </w:numPr>
        <w:ind w:left="567" w:hanging="294"/>
      </w:pPr>
      <w:r>
        <w:t>Indicators of NUE, including fertiliser N recovery, tended to be higher at the well-drained site</w:t>
      </w:r>
      <w:r w:rsidR="00725308">
        <w:t xml:space="preserve">. </w:t>
      </w:r>
      <w:r>
        <w:t xml:space="preserve">Even in the highest performing season for the poorly drained site, the </w:t>
      </w:r>
      <w:proofErr w:type="spellStart"/>
      <w:r>
        <w:t>Agron</w:t>
      </w:r>
      <w:proofErr w:type="spellEnd"/>
      <w:r>
        <w:t xml:space="preserve"> </w:t>
      </w:r>
      <w:proofErr w:type="spellStart"/>
      <w:r>
        <w:t>Efffert</w:t>
      </w:r>
      <w:proofErr w:type="spellEnd"/>
      <w:r>
        <w:t xml:space="preserve"> and fertiliser N recovery, was still lower than the well-drained site</w:t>
      </w:r>
      <w:r w:rsidR="00725308">
        <w:t xml:space="preserve">. </w:t>
      </w:r>
      <w:r>
        <w:t>At the poorly drained site, fertiliser NUE was highest in the 3R crop.</w:t>
      </w:r>
    </w:p>
    <w:p w14:paraId="7C97A781" w14:textId="6FBC8FB0" w:rsidR="0024031A" w:rsidRDefault="0024031A" w:rsidP="00B60C9D">
      <w:pPr>
        <w:pStyle w:val="Bullets"/>
        <w:numPr>
          <w:ilvl w:val="0"/>
          <w:numId w:val="31"/>
        </w:numPr>
        <w:ind w:left="567" w:hanging="294"/>
      </w:pPr>
      <w:r>
        <w:t xml:space="preserve">The </w:t>
      </w:r>
      <w:proofErr w:type="spellStart"/>
      <w:r>
        <w:t>NUtE</w:t>
      </w:r>
      <w:proofErr w:type="spellEnd"/>
      <w:r>
        <w:t xml:space="preserve"> factor, which describes the efficiency with which the crop uses accumulated N to produce a tonne of cane was highest in the 3R and lowest in the 1R crops at both sites.</w:t>
      </w:r>
    </w:p>
    <w:p w14:paraId="61020ADB" w14:textId="6E120DEE" w:rsidR="0024031A" w:rsidRDefault="0024031A" w:rsidP="00B60C9D">
      <w:pPr>
        <w:pStyle w:val="Bullets"/>
        <w:numPr>
          <w:ilvl w:val="0"/>
          <w:numId w:val="31"/>
        </w:numPr>
        <w:ind w:left="567" w:hanging="294"/>
      </w:pPr>
      <w:r>
        <w:t>Despite the favourable climatic conditions experienced during the growing season of the 1R crop, it was the least responsive to applied N and this was consistent across sites. This is because total mineral N in the soil profile (0-80 cm) after harvesting the plant crop and coinciding with the commencement of the experiment, was very high, especially at the well-drained site (more than 200 kg N/ha compared to around 90 kg N/ha at the poorly drained site).</w:t>
      </w:r>
    </w:p>
    <w:p w14:paraId="26674B4D" w14:textId="2895D9EB" w:rsidR="0024031A" w:rsidRDefault="0024031A" w:rsidP="00B60C9D">
      <w:pPr>
        <w:pStyle w:val="Bullets"/>
        <w:numPr>
          <w:ilvl w:val="0"/>
          <w:numId w:val="31"/>
        </w:numPr>
        <w:ind w:left="567" w:hanging="294"/>
      </w:pPr>
      <w:r>
        <w:t xml:space="preserve">The grower partial and industry net returns for the 1R, 2R, 3R and 4R crops were often higher at the well-drained site because of the higher cane and sugar yields produced. </w:t>
      </w:r>
    </w:p>
    <w:p w14:paraId="63C09759" w14:textId="707603B6" w:rsidR="0024031A" w:rsidRDefault="0024031A" w:rsidP="00B60C9D">
      <w:pPr>
        <w:pStyle w:val="Bullets"/>
        <w:numPr>
          <w:ilvl w:val="0"/>
          <w:numId w:val="31"/>
        </w:numPr>
        <w:ind w:left="567" w:hanging="294"/>
      </w:pPr>
      <w:r>
        <w:t>Economic returns aligned with crop performance and fertiliser NUE indices in that the 2R crop at the well-drained site and 3R crop at the poorly drained site resulted in the highest grower partial and industry net returns</w:t>
      </w:r>
      <w:r w:rsidR="00725308">
        <w:t xml:space="preserve">. </w:t>
      </w:r>
    </w:p>
    <w:p w14:paraId="6E7B0B05" w14:textId="1BA342DC" w:rsidR="0024031A" w:rsidRDefault="0024031A" w:rsidP="00B60C9D">
      <w:pPr>
        <w:pStyle w:val="Bullets"/>
        <w:numPr>
          <w:ilvl w:val="0"/>
          <w:numId w:val="31"/>
        </w:numPr>
        <w:ind w:left="567" w:hanging="294"/>
      </w:pPr>
      <w:r>
        <w:lastRenderedPageBreak/>
        <w:t>At both sites, calculated optimum N values were 30-40 and 20-30 kg N/ha lower than 6ES N guidelines, except in the 1R crop where the difference was much larger.</w:t>
      </w:r>
    </w:p>
    <w:p w14:paraId="0162A8EB" w14:textId="1796600C" w:rsidR="0024031A" w:rsidRDefault="0024031A" w:rsidP="00B60C9D">
      <w:pPr>
        <w:pStyle w:val="Bullets"/>
        <w:numPr>
          <w:ilvl w:val="0"/>
          <w:numId w:val="31"/>
        </w:numPr>
        <w:ind w:left="567" w:hanging="294"/>
      </w:pPr>
      <w:r>
        <w:t xml:space="preserve">The N response curves and associated optimum N values indicated there was potential to refine N fertiliser application rates and improve NUE on well-drained and poorly drained soils, such as the Tully and </w:t>
      </w:r>
      <w:proofErr w:type="spellStart"/>
      <w:r>
        <w:t>Timara</w:t>
      </w:r>
      <w:proofErr w:type="spellEnd"/>
      <w:r>
        <w:t xml:space="preserve"> series soils, encountered at sites WT1 and WT2</w:t>
      </w:r>
      <w:r w:rsidR="00725308">
        <w:t xml:space="preserve">. </w:t>
      </w:r>
    </w:p>
    <w:p w14:paraId="40F6FAA4" w14:textId="308964E9" w:rsidR="0024031A" w:rsidRDefault="0024031A" w:rsidP="00B60C9D">
      <w:pPr>
        <w:pStyle w:val="Bullets"/>
        <w:numPr>
          <w:ilvl w:val="0"/>
          <w:numId w:val="31"/>
        </w:numPr>
        <w:ind w:left="567" w:hanging="294"/>
      </w:pPr>
      <w:r>
        <w:t>However, the results also indicate reducing N rates can result in lower productivity and profitability, especially industry net returns (</w:t>
      </w:r>
      <w:proofErr w:type="gramStart"/>
      <w:r>
        <w:t>e.g.</w:t>
      </w:r>
      <w:proofErr w:type="gramEnd"/>
      <w:r>
        <w:t xml:space="preserve"> 3R and 4R crops at the well-drained site and for all ratoon crops at the poorly drained site)</w:t>
      </w:r>
      <w:r w:rsidR="00725308">
        <w:t xml:space="preserve">. </w:t>
      </w:r>
    </w:p>
    <w:p w14:paraId="5DFA330E" w14:textId="3E4CF331" w:rsidR="0024031A" w:rsidRDefault="0024031A" w:rsidP="00B60C9D">
      <w:pPr>
        <w:pStyle w:val="Bullets"/>
        <w:numPr>
          <w:ilvl w:val="0"/>
          <w:numId w:val="31"/>
        </w:numPr>
        <w:ind w:left="567" w:hanging="294"/>
      </w:pPr>
      <w:r>
        <w:t xml:space="preserve">The 6ES N rate often resulted in the most favourable net returns when compared against the calculated optimum N rate. </w:t>
      </w:r>
    </w:p>
    <w:p w14:paraId="62857E58" w14:textId="75E0F0C6" w:rsidR="0024031A" w:rsidRDefault="0024031A" w:rsidP="00B60C9D">
      <w:pPr>
        <w:pStyle w:val="Bullets"/>
      </w:pPr>
      <w:r>
        <w:t>Wet Tropics sites (WT3-WT4):</w:t>
      </w:r>
    </w:p>
    <w:p w14:paraId="364CE324" w14:textId="147928DB" w:rsidR="0024031A" w:rsidRDefault="0024031A" w:rsidP="00B60C9D">
      <w:pPr>
        <w:pStyle w:val="Bullets"/>
        <w:numPr>
          <w:ilvl w:val="0"/>
          <w:numId w:val="32"/>
        </w:numPr>
        <w:ind w:left="567" w:hanging="294"/>
      </w:pPr>
      <w:r>
        <w:t xml:space="preserve">At both </w:t>
      </w:r>
      <w:proofErr w:type="gramStart"/>
      <w:r>
        <w:t>sites,  the</w:t>
      </w:r>
      <w:proofErr w:type="gramEnd"/>
      <w:r>
        <w:t xml:space="preserve"> majority of total mineral N measured at each sampling event was present as ammonium N for both harvest treatments, except at the commencement of the experiment. </w:t>
      </w:r>
    </w:p>
    <w:p w14:paraId="3EB2A881" w14:textId="1E0B9542" w:rsidR="0024031A" w:rsidRDefault="0024031A" w:rsidP="00B60C9D">
      <w:pPr>
        <w:pStyle w:val="Bullets"/>
        <w:numPr>
          <w:ilvl w:val="0"/>
          <w:numId w:val="32"/>
        </w:numPr>
        <w:ind w:left="567" w:hanging="294"/>
      </w:pPr>
      <w:r>
        <w:t>Total mineral N in the soil profile (0-80 cm) was similar between sites but tended to be lower in the late-harvest treatments for most sampling events.</w:t>
      </w:r>
    </w:p>
    <w:p w14:paraId="66F74131" w14:textId="1D099DFA" w:rsidR="0024031A" w:rsidRDefault="0024031A" w:rsidP="00B60C9D">
      <w:pPr>
        <w:pStyle w:val="Bullets"/>
        <w:numPr>
          <w:ilvl w:val="0"/>
          <w:numId w:val="32"/>
        </w:numPr>
        <w:ind w:left="567" w:hanging="294"/>
      </w:pPr>
      <w:r>
        <w:t>Key differences between the well-drained and poorly drained sites include:</w:t>
      </w:r>
    </w:p>
    <w:p w14:paraId="368CD6F5" w14:textId="4F1D6227" w:rsidR="0024031A" w:rsidRDefault="0024031A" w:rsidP="00BA467E">
      <w:pPr>
        <w:pStyle w:val="Bullets"/>
        <w:numPr>
          <w:ilvl w:val="0"/>
          <w:numId w:val="34"/>
        </w:numPr>
        <w:ind w:left="851" w:hanging="294"/>
      </w:pPr>
      <w:r>
        <w:t xml:space="preserve">The well-drained site produced higher fresh and dry biomass, cane and sugar yield and had greater crop N uptake compared to the poorly drained WT4 site in the 1R, 2R and 4R crops. </w:t>
      </w:r>
    </w:p>
    <w:p w14:paraId="541F4CE5" w14:textId="2827F270" w:rsidR="0024031A" w:rsidRDefault="0024031A" w:rsidP="00BA467E">
      <w:pPr>
        <w:pStyle w:val="Bullets"/>
        <w:numPr>
          <w:ilvl w:val="0"/>
          <w:numId w:val="34"/>
        </w:numPr>
        <w:ind w:left="851" w:hanging="294"/>
      </w:pPr>
      <w:r>
        <w:t xml:space="preserve">The higher cane and sugar yields achieved at the well-drained site also resulted in higher economic returns and NUE compared to the poorly drained WT4 site. </w:t>
      </w:r>
    </w:p>
    <w:p w14:paraId="4FD5C981" w14:textId="3A30D41D" w:rsidR="0024031A" w:rsidRDefault="0024031A" w:rsidP="00BA467E">
      <w:pPr>
        <w:pStyle w:val="Bullets"/>
        <w:numPr>
          <w:ilvl w:val="0"/>
          <w:numId w:val="34"/>
        </w:numPr>
        <w:ind w:left="851" w:hanging="294"/>
      </w:pPr>
      <w:r>
        <w:t>In the 3R crop, fresh biomass, cane yield and NUE tended to be higher at the poorly drained site, for the mid-harvest treatment</w:t>
      </w:r>
      <w:r w:rsidR="00725308">
        <w:t xml:space="preserve">. </w:t>
      </w:r>
    </w:p>
    <w:p w14:paraId="57A02B4F" w14:textId="0EAD8CF3" w:rsidR="0024031A" w:rsidRDefault="0024031A" w:rsidP="00BA467E">
      <w:pPr>
        <w:pStyle w:val="Bullets"/>
        <w:numPr>
          <w:ilvl w:val="0"/>
          <w:numId w:val="34"/>
        </w:numPr>
        <w:ind w:left="851" w:hanging="294"/>
      </w:pPr>
      <w:r>
        <w:t xml:space="preserve">At the well-drained site, the highest mean cane yields for the mid-harvest and late-harvest treatments occurred in the 2R and 1R crops, respectively whereas at the poorly drained site, the highest mean cane yield for both the mid and late-harvest treatments occurred in the 3R crop. </w:t>
      </w:r>
    </w:p>
    <w:p w14:paraId="36AA608C" w14:textId="2899DDDF" w:rsidR="0024031A" w:rsidRDefault="0024031A" w:rsidP="00BA467E">
      <w:pPr>
        <w:pStyle w:val="Bullets"/>
        <w:numPr>
          <w:ilvl w:val="0"/>
          <w:numId w:val="34"/>
        </w:numPr>
        <w:ind w:left="851" w:hanging="294"/>
      </w:pPr>
      <w:r>
        <w:t>At the poorly drained site, total fresh biomass and cane yields tended to be more variable between seasons</w:t>
      </w:r>
      <w:r w:rsidR="00725308">
        <w:t xml:space="preserve">. </w:t>
      </w:r>
      <w:r>
        <w:t>The difference between mean fresh biomass and cane yields for the mid- and late- harvest treatments also tended to be greater than for the well-drained site in each season</w:t>
      </w:r>
      <w:r w:rsidR="00725308">
        <w:t xml:space="preserve">. </w:t>
      </w:r>
    </w:p>
    <w:p w14:paraId="4146B573" w14:textId="34E377AE" w:rsidR="0024031A" w:rsidRDefault="0024031A" w:rsidP="00BA467E">
      <w:pPr>
        <w:pStyle w:val="Bullets"/>
        <w:numPr>
          <w:ilvl w:val="0"/>
          <w:numId w:val="34"/>
        </w:numPr>
        <w:ind w:left="851" w:hanging="294"/>
      </w:pPr>
      <w:r>
        <w:t>There were large seasonal variations in CCS</w:t>
      </w:r>
      <w:r w:rsidR="00725308">
        <w:t xml:space="preserve">. </w:t>
      </w:r>
      <w:r>
        <w:t>At both sites the highest mean CCS for the mid- and late-harvest treatments occurred in the 2R and 4R crops, respectively.</w:t>
      </w:r>
    </w:p>
    <w:p w14:paraId="50ABC768" w14:textId="36A20B42" w:rsidR="0024031A" w:rsidRDefault="0024031A" w:rsidP="00BA467E">
      <w:pPr>
        <w:pStyle w:val="Bullets"/>
        <w:numPr>
          <w:ilvl w:val="0"/>
          <w:numId w:val="34"/>
        </w:numPr>
        <w:ind w:left="851" w:hanging="294"/>
      </w:pPr>
      <w:r>
        <w:t>There were also large site variations in CCS</w:t>
      </w:r>
      <w:r w:rsidR="00725308">
        <w:t xml:space="preserve">. </w:t>
      </w:r>
      <w:r>
        <w:t>For example, CCS at the well-drained site was higher than the poorly drained site despite both crops being sampled at the same crop age and on the same day in the mid-harvest treatment of the 3R crop</w:t>
      </w:r>
      <w:r w:rsidR="00725308">
        <w:t xml:space="preserve">. </w:t>
      </w:r>
      <w:r>
        <w:t>This may be related to differences in soil moisture (</w:t>
      </w:r>
      <w:proofErr w:type="gramStart"/>
      <w:r>
        <w:t>e.g.</w:t>
      </w:r>
      <w:proofErr w:type="gramEnd"/>
      <w:r>
        <w:t xml:space="preserve"> higher at the poorly drained site because it occurs lower in the landscape)</w:t>
      </w:r>
      <w:r w:rsidR="00725308">
        <w:t xml:space="preserve">. </w:t>
      </w:r>
      <w:r>
        <w:t xml:space="preserve"> </w:t>
      </w:r>
    </w:p>
    <w:p w14:paraId="690DB752" w14:textId="41950B47" w:rsidR="0024031A" w:rsidRDefault="0024031A" w:rsidP="00BA467E">
      <w:pPr>
        <w:pStyle w:val="Bullets"/>
        <w:numPr>
          <w:ilvl w:val="0"/>
          <w:numId w:val="34"/>
        </w:numPr>
        <w:ind w:left="851" w:hanging="294"/>
      </w:pPr>
      <w:r>
        <w:t>At the well-drained site, the simple measures of NUE indicate the 2R crop was the most efficient at using all available sources of N irrespective of harvest time</w:t>
      </w:r>
      <w:r w:rsidR="00725308">
        <w:t xml:space="preserve">. </w:t>
      </w:r>
      <w:r>
        <w:t>This is because the 2R crop tended to be associated with the highest cane yields</w:t>
      </w:r>
      <w:r w:rsidR="00725308">
        <w:t xml:space="preserve">. </w:t>
      </w:r>
    </w:p>
    <w:p w14:paraId="4E3EBD20" w14:textId="01F99554" w:rsidR="0024031A" w:rsidRDefault="0024031A" w:rsidP="00BA467E">
      <w:pPr>
        <w:pStyle w:val="Bullets"/>
        <w:numPr>
          <w:ilvl w:val="0"/>
          <w:numId w:val="34"/>
        </w:numPr>
        <w:ind w:left="851" w:hanging="294"/>
      </w:pPr>
      <w:r>
        <w:t>At the poorly drained site, the simple measures of NUE indicate the 3R crop was the most efficient at using all available sources of N irrespective of harvest time</w:t>
      </w:r>
      <w:r w:rsidR="00725308">
        <w:t xml:space="preserve">. </w:t>
      </w:r>
      <w:r>
        <w:t>This is because the 3R crop at the poorly drained site was associated with the highest cane yields</w:t>
      </w:r>
      <w:r w:rsidR="00725308">
        <w:t xml:space="preserve">. </w:t>
      </w:r>
    </w:p>
    <w:p w14:paraId="57EA4386" w14:textId="68A01658" w:rsidR="0024031A" w:rsidRDefault="0024031A" w:rsidP="00BA467E">
      <w:pPr>
        <w:pStyle w:val="Bullets"/>
        <w:numPr>
          <w:ilvl w:val="0"/>
          <w:numId w:val="34"/>
        </w:numPr>
        <w:ind w:left="851" w:hanging="294"/>
      </w:pPr>
      <w:r>
        <w:t>At both sites, economic returns were highest in the 2R crops for the mid-harvest treatment and in the 3R crop for the late-harvest treatment.</w:t>
      </w:r>
    </w:p>
    <w:p w14:paraId="512D4FC8" w14:textId="5EFD127E" w:rsidR="0024031A" w:rsidRDefault="0024031A" w:rsidP="00BA467E">
      <w:pPr>
        <w:pStyle w:val="Bullets"/>
        <w:numPr>
          <w:ilvl w:val="0"/>
          <w:numId w:val="35"/>
        </w:numPr>
        <w:ind w:left="567" w:hanging="294"/>
      </w:pPr>
      <w:r>
        <w:t>There was no significant interaction between N rate and time of harvest for the crop biomass, yield or N uptake parameters measured. However, there were significant differences between time of harvest treatments and, occasionally, for the N rate.</w:t>
      </w:r>
    </w:p>
    <w:p w14:paraId="525A9F45" w14:textId="2C04C86B" w:rsidR="0024031A" w:rsidRDefault="0024031A" w:rsidP="00BA467E">
      <w:pPr>
        <w:pStyle w:val="Bullets"/>
        <w:numPr>
          <w:ilvl w:val="0"/>
          <w:numId w:val="35"/>
        </w:numPr>
        <w:ind w:left="567" w:hanging="294"/>
      </w:pPr>
      <w:r>
        <w:t xml:space="preserve">The highest </w:t>
      </w:r>
      <w:proofErr w:type="spellStart"/>
      <w:r>
        <w:t>NUtE</w:t>
      </w:r>
      <w:proofErr w:type="spellEnd"/>
      <w:r>
        <w:t xml:space="preserve"> values for the mid- and late-harvested crops occurred in different seasons</w:t>
      </w:r>
      <w:r w:rsidR="00725308">
        <w:t xml:space="preserve">. </w:t>
      </w:r>
      <w:proofErr w:type="spellStart"/>
      <w:r>
        <w:t>NUtE</w:t>
      </w:r>
      <w:proofErr w:type="spellEnd"/>
      <w:r>
        <w:t xml:space="preserve"> tended to be highest in the 2R crops at both sites for the mid-harvest treatment, whereas in the late-harvest treatment, </w:t>
      </w:r>
      <w:proofErr w:type="spellStart"/>
      <w:r>
        <w:t>NUtE</w:t>
      </w:r>
      <w:proofErr w:type="spellEnd"/>
      <w:r>
        <w:t xml:space="preserve"> tended to be highest in the 3R crop at well-drained site and 4R crop at the poorly drained site.</w:t>
      </w:r>
    </w:p>
    <w:p w14:paraId="799CFE51" w14:textId="3F7B9E82" w:rsidR="0024031A" w:rsidRDefault="0024031A" w:rsidP="00BA467E">
      <w:pPr>
        <w:pStyle w:val="Bullets"/>
        <w:numPr>
          <w:ilvl w:val="0"/>
          <w:numId w:val="35"/>
        </w:numPr>
        <w:ind w:left="567" w:hanging="294"/>
      </w:pPr>
      <w:r>
        <w:lastRenderedPageBreak/>
        <w:t xml:space="preserve">The calculated optimum N value for the mid-harvest treatment at the well-drained site was similar or lower than 6ES whereas in the late-harvest treatment, the calculated optimum N value tended to be lower than 6ES in most seasons. </w:t>
      </w:r>
    </w:p>
    <w:p w14:paraId="16D56AFB" w14:textId="3CD729BE" w:rsidR="0024031A" w:rsidRDefault="0024031A" w:rsidP="00BA467E">
      <w:pPr>
        <w:pStyle w:val="Bullets"/>
        <w:numPr>
          <w:ilvl w:val="0"/>
          <w:numId w:val="35"/>
        </w:numPr>
        <w:ind w:left="567" w:hanging="294"/>
      </w:pPr>
      <w:r>
        <w:t>At the poorly drained site, the calculated optimum N value for the mid- and late-harvest treatments was lower than 6ES in all seasons.</w:t>
      </w:r>
    </w:p>
    <w:p w14:paraId="0775AB31" w14:textId="3A69509E" w:rsidR="0024031A" w:rsidRDefault="0024031A" w:rsidP="0024031A">
      <w:pPr>
        <w:pStyle w:val="Bullets"/>
        <w:numPr>
          <w:ilvl w:val="0"/>
          <w:numId w:val="35"/>
        </w:numPr>
        <w:ind w:left="567" w:hanging="294"/>
      </w:pPr>
      <w:r>
        <w:t xml:space="preserve">It may be possible to refine on-farm N inputs (based on the 6ES N guidelines) to both mid- and late-harvested crops on the well-drained Tully series soil and poorly drained </w:t>
      </w:r>
      <w:proofErr w:type="spellStart"/>
      <w:r>
        <w:t>Coom</w:t>
      </w:r>
      <w:proofErr w:type="spellEnd"/>
      <w:r>
        <w:t xml:space="preserve"> series soil in some seasons. However, it is not possible to predict whether N rates can be refined for other well- and poorly drained series soils. Any refinements to N fertiliser rates or products should be evaluated on-farm.</w:t>
      </w:r>
    </w:p>
    <w:p w14:paraId="48352149" w14:textId="77777777" w:rsidR="0024031A" w:rsidRDefault="0024031A" w:rsidP="00BA467E">
      <w:pPr>
        <w:pStyle w:val="Heading2"/>
      </w:pPr>
      <w:r>
        <w:t>Identifying and managing potential soil constraints</w:t>
      </w:r>
    </w:p>
    <w:p w14:paraId="394AC6FC" w14:textId="0CEBE1AE" w:rsidR="0024031A" w:rsidRDefault="0024031A" w:rsidP="00BA467E">
      <w:pPr>
        <w:pStyle w:val="Bullets"/>
      </w:pPr>
      <w:r>
        <w:t>Sodic soils and poorly drained soils were identified as major yield potential constraints in the Central region</w:t>
      </w:r>
      <w:r w:rsidR="00725308">
        <w:t xml:space="preserve">. </w:t>
      </w:r>
      <w:r>
        <w:t>However, given the diverse range of sugarcane growing soils encountered and ranges in sodic soil risks and waterlogging severity, all major sugarcane soils were included in the development of the agronomic soil groups for the Central region.</w:t>
      </w:r>
    </w:p>
    <w:p w14:paraId="04C086BF" w14:textId="1D6D15D7" w:rsidR="0024031A" w:rsidRDefault="0024031A" w:rsidP="00BA467E">
      <w:pPr>
        <w:pStyle w:val="Bullets"/>
      </w:pPr>
      <w:r>
        <w:t xml:space="preserve">The major sugarcane growing soils have been categorised into three agronomic soil groups according to productivity potential (high, </w:t>
      </w:r>
      <w:proofErr w:type="gramStart"/>
      <w:r>
        <w:t>average</w:t>
      </w:r>
      <w:proofErr w:type="gramEnd"/>
      <w:r>
        <w:t xml:space="preserve"> or low) and sodic soil and waterlogging risks (mild, low, moderate or severe).</w:t>
      </w:r>
    </w:p>
    <w:p w14:paraId="68FDEEA7" w14:textId="746E76EF" w:rsidR="0024031A" w:rsidRDefault="0024031A" w:rsidP="00BA467E">
      <w:pPr>
        <w:pStyle w:val="Bullets"/>
      </w:pPr>
      <w:r>
        <w:t>In the Mackay district, approximately 25% of sugarcane growing soils are estimated to have either moderate or high Exchangeable Sodium Percentage (ESP).</w:t>
      </w:r>
    </w:p>
    <w:p w14:paraId="70B96F61" w14:textId="660E04C9" w:rsidR="0024031A" w:rsidRDefault="0024031A" w:rsidP="00BA467E">
      <w:pPr>
        <w:pStyle w:val="Bullets"/>
      </w:pPr>
      <w:r>
        <w:t>All major sugarcane growing soils were included in the development of the Wet Tropics agronomic soil groups as the focus shifted from identifying soils having the greatest potential to constrain yield (</w:t>
      </w:r>
      <w:proofErr w:type="gramStart"/>
      <w:r>
        <w:t>e.g.</w:t>
      </w:r>
      <w:proofErr w:type="gramEnd"/>
      <w:r>
        <w:t xml:space="preserve"> waterlogged soils) towards better understanding which group of soils may be more or less responsive to applied N in wet and dry years</w:t>
      </w:r>
      <w:r w:rsidR="00725308">
        <w:t xml:space="preserve">. </w:t>
      </w:r>
      <w:r>
        <w:t>The inclusion of all major soils was identified as having the potential to deliver greater industry value as the agronomic soil groups could be used to inform a range of decisions, not only N management strategies.</w:t>
      </w:r>
    </w:p>
    <w:p w14:paraId="14F2DFF7" w14:textId="175D8563" w:rsidR="0024031A" w:rsidRDefault="0024031A" w:rsidP="00BA467E">
      <w:pPr>
        <w:pStyle w:val="Bullets"/>
      </w:pPr>
      <w:r>
        <w:t>The soil survey reports have traditionally grouped these major soils as well drained or poorly drained soils of alluvial origin, soils of acid igneous or metamorphic rock origin, basaltic soils, soils formed on beach ridges and soils of the swamp and tidal zone based on land formation and parent material.</w:t>
      </w:r>
    </w:p>
    <w:p w14:paraId="4486C6CB" w14:textId="29B6CB5A" w:rsidR="0024031A" w:rsidRDefault="0024031A" w:rsidP="00BA467E">
      <w:pPr>
        <w:pStyle w:val="Bullets"/>
      </w:pPr>
      <w:r>
        <w:t>The agronomic soil grouping system resulted in the major Wet Tropics soils being classified into five soil groups based on the water holding capacity, propensity to waterlog and presence of a water table in wetter years.</w:t>
      </w:r>
    </w:p>
    <w:p w14:paraId="01853F34" w14:textId="0517833D" w:rsidR="0024031A" w:rsidRDefault="0024031A" w:rsidP="00BA467E">
      <w:pPr>
        <w:pStyle w:val="Bullets"/>
      </w:pPr>
      <w:r>
        <w:t>Parameters such as soil texture, colour, particle size distribution and bulk density were useful in determining water holding capacity, propensity to waterlog and N mineralisation potential. These concepts, when used in combination with position in the landscape, may also be useful in identifying possible nutrient loss pathways.</w:t>
      </w:r>
    </w:p>
    <w:p w14:paraId="6FD65F1E" w14:textId="51E51634" w:rsidR="0024031A" w:rsidRDefault="0024031A" w:rsidP="00BA467E">
      <w:pPr>
        <w:pStyle w:val="Bullets"/>
      </w:pPr>
      <w:r>
        <w:t>Wet year soil group five occurs in the lowest positions in the landscape, experiences severe waterlogging and a persistent water table</w:t>
      </w:r>
      <w:r w:rsidR="00725308">
        <w:t xml:space="preserve">. </w:t>
      </w:r>
      <w:r>
        <w:t>These soils are also subject to frequent water inundation following extreme rainfall events. Responsiveness to applied N may be limited on these soils in wet years due to soil wetness restricting the crop’s ability to produce biomass and potential for increased N losses primarily through denitrification reducing N uptake.</w:t>
      </w:r>
    </w:p>
    <w:p w14:paraId="4D46E03E" w14:textId="5B4A8406" w:rsidR="00BA467E" w:rsidRDefault="0024031A" w:rsidP="00725308">
      <w:pPr>
        <w:pStyle w:val="Bullets"/>
      </w:pPr>
      <w:r>
        <w:t>Management strategies to improve nitrogen use efficiency (NUE) will differ between soil groups and for wet and dry years</w:t>
      </w:r>
      <w:r w:rsidR="00725308">
        <w:t xml:space="preserve">. </w:t>
      </w:r>
      <w:r>
        <w:t>However, the general focus will be on improving crop growth (e.g. adequate drainage, mounding, correct variety selection, carefully considering time of harvest), protecting N from environmental losses (e.g. using enhanced efficiency fertilisers (EEF) products, split application, considering the climate forecast prior to application) and trying to better match N supply to crop demand (e.g. application timing and N rate as influenced by seasonal conditions, crop class and potentially harvest time).</w:t>
      </w:r>
    </w:p>
    <w:p w14:paraId="48B1D870" w14:textId="77777777" w:rsidR="0024031A" w:rsidRDefault="0024031A" w:rsidP="00BA467E">
      <w:pPr>
        <w:pStyle w:val="Heading2"/>
      </w:pPr>
      <w:r>
        <w:t>Identification of management practices to improve NUE</w:t>
      </w:r>
    </w:p>
    <w:p w14:paraId="69C91488" w14:textId="77777777" w:rsidR="0024031A" w:rsidRPr="00BA467E" w:rsidRDefault="0024031A" w:rsidP="0024031A">
      <w:pPr>
        <w:pStyle w:val="BodyCopy"/>
        <w:rPr>
          <w:b/>
          <w:bCs/>
        </w:rPr>
      </w:pPr>
      <w:r w:rsidRPr="00BA467E">
        <w:rPr>
          <w:b/>
          <w:bCs/>
        </w:rPr>
        <w:t>Central Region</w:t>
      </w:r>
    </w:p>
    <w:p w14:paraId="6225890F" w14:textId="5BD9F193" w:rsidR="0024031A" w:rsidRDefault="0024031A" w:rsidP="00BA467E">
      <w:pPr>
        <w:pStyle w:val="Bullets"/>
      </w:pPr>
      <w:r>
        <w:t xml:space="preserve">The climatic conditions of the Central sugarcane growing region can be defined as having a dry spring period which coincides with the harvesting and fertilising of the crop followed by a three to four month ‘wet season’ </w:t>
      </w:r>
      <w:r>
        <w:lastRenderedPageBreak/>
        <w:t xml:space="preserve">where heavy rainfall events cause significant waterlogging and poor crop growth especially on poorly drained soils. </w:t>
      </w:r>
    </w:p>
    <w:p w14:paraId="5507F49E" w14:textId="2A95668B" w:rsidR="0024031A" w:rsidRDefault="0024031A" w:rsidP="00BA467E">
      <w:pPr>
        <w:pStyle w:val="Bullets"/>
      </w:pPr>
      <w:r>
        <w:t>Seasonal waterlogging of poorly drained soils situated in lower lying positions in the landscape is a major driver of yield variability in the Mackay district</w:t>
      </w:r>
      <w:r w:rsidR="00725308">
        <w:t xml:space="preserve">. </w:t>
      </w:r>
    </w:p>
    <w:p w14:paraId="2D402804" w14:textId="05ADA260" w:rsidR="0024031A" w:rsidRDefault="0024031A" w:rsidP="00BA467E">
      <w:pPr>
        <w:pStyle w:val="Bullets"/>
      </w:pPr>
      <w:r>
        <w:t>Suggested management practice modifications to help alleviate yield constraints and/or improve NUE resulting from extended periods of waterlogging include:</w:t>
      </w:r>
    </w:p>
    <w:p w14:paraId="114BFA65" w14:textId="0597F574" w:rsidR="0024031A" w:rsidRDefault="0024031A" w:rsidP="00BA467E">
      <w:pPr>
        <w:pStyle w:val="Bullets"/>
        <w:numPr>
          <w:ilvl w:val="0"/>
          <w:numId w:val="36"/>
        </w:numPr>
        <w:ind w:left="567" w:hanging="294"/>
      </w:pPr>
      <w:r>
        <w:t>Modifications to nutrient and irrigation programs to enhance crop uptake of N and growth before the risk of waterlogging increases throughout summer.</w:t>
      </w:r>
    </w:p>
    <w:p w14:paraId="2AD1BF79" w14:textId="4DFB5F11" w:rsidR="0024031A" w:rsidRDefault="0024031A" w:rsidP="00BA467E">
      <w:pPr>
        <w:pStyle w:val="Bullets"/>
        <w:numPr>
          <w:ilvl w:val="0"/>
          <w:numId w:val="36"/>
        </w:numPr>
        <w:ind w:left="567" w:hanging="294"/>
      </w:pPr>
      <w:r>
        <w:t>Evaluating the potential to reduce N rates on waterlogged soils.</w:t>
      </w:r>
    </w:p>
    <w:p w14:paraId="4BAB4312" w14:textId="69ABCBBA" w:rsidR="0024031A" w:rsidRDefault="0024031A" w:rsidP="00BA467E">
      <w:pPr>
        <w:pStyle w:val="Bullets"/>
        <w:numPr>
          <w:ilvl w:val="0"/>
          <w:numId w:val="36"/>
        </w:numPr>
        <w:ind w:left="567" w:hanging="294"/>
      </w:pPr>
      <w:r>
        <w:t xml:space="preserve">In locations experiencing extended periods of waterlogging, evidence suggests that the root systems are severely compromised which impairs the </w:t>
      </w:r>
      <w:proofErr w:type="gramStart"/>
      <w:r>
        <w:t>crops</w:t>
      </w:r>
      <w:proofErr w:type="gramEnd"/>
      <w:r>
        <w:t xml:space="preserve"> ability to access available N deeper in the soil profile.</w:t>
      </w:r>
    </w:p>
    <w:p w14:paraId="0438F9A3" w14:textId="3C49AFE7" w:rsidR="0024031A" w:rsidRDefault="0024031A" w:rsidP="00BA467E">
      <w:pPr>
        <w:pStyle w:val="Bullets"/>
      </w:pPr>
      <w:r>
        <w:t>Approximately 25% of sugarcane growing soils in the Mackay district have moderate or high ESP probabilities</w:t>
      </w:r>
      <w:r w:rsidR="00725308">
        <w:t xml:space="preserve">. </w:t>
      </w:r>
      <w:r>
        <w:t>Soils with an ESP greater than 6% swell and disperse when wet and soils with an ESP&gt;15% exhibit severe structural breakdown</w:t>
      </w:r>
      <w:r w:rsidR="00725308">
        <w:t xml:space="preserve">. </w:t>
      </w:r>
      <w:r>
        <w:t>This affects aeration, water infiltration and root penetration and is often associated with reduced productivity</w:t>
      </w:r>
      <w:r w:rsidR="00725308">
        <w:t xml:space="preserve">. </w:t>
      </w:r>
      <w:r>
        <w:t>Management strategies to alleviate the impact of sodic soil conditions on sugarcane yields may include:</w:t>
      </w:r>
    </w:p>
    <w:p w14:paraId="18CD8B81" w14:textId="50C1EAE8" w:rsidR="0024031A" w:rsidRDefault="0024031A" w:rsidP="00BA467E">
      <w:pPr>
        <w:pStyle w:val="Bullets"/>
        <w:numPr>
          <w:ilvl w:val="0"/>
          <w:numId w:val="37"/>
        </w:numPr>
        <w:ind w:left="567" w:hanging="294"/>
      </w:pPr>
      <w:r>
        <w:t>Planting varieties identified as being moderately salt tolerant such as Q232</w:t>
      </w:r>
      <w:r w:rsidRPr="00BA467E">
        <w:rPr>
          <w:rFonts w:ascii="PBRsfont" w:hAnsi="PBRsfont"/>
          <w:vertAlign w:val="superscript"/>
        </w:rPr>
        <w:t>A</w:t>
      </w:r>
      <w:r>
        <w:t xml:space="preserve"> and Q138.</w:t>
      </w:r>
    </w:p>
    <w:p w14:paraId="206D8A90" w14:textId="346D1B97" w:rsidR="0024031A" w:rsidRDefault="0024031A" w:rsidP="00BA467E">
      <w:pPr>
        <w:pStyle w:val="Bullets"/>
        <w:numPr>
          <w:ilvl w:val="0"/>
          <w:numId w:val="37"/>
        </w:numPr>
        <w:ind w:left="567" w:hanging="294"/>
      </w:pPr>
      <w:r>
        <w:t>Applying ameliorants (gypsum, mill by-products) according to soil test results.</w:t>
      </w:r>
    </w:p>
    <w:p w14:paraId="256980B8" w14:textId="15EB4CE9" w:rsidR="0024031A" w:rsidRDefault="0024031A" w:rsidP="00BA467E">
      <w:pPr>
        <w:pStyle w:val="Bullets"/>
        <w:numPr>
          <w:ilvl w:val="0"/>
          <w:numId w:val="37"/>
        </w:numPr>
        <w:ind w:left="567" w:hanging="294"/>
      </w:pPr>
      <w:r>
        <w:t>Improving sub-surface drainage.</w:t>
      </w:r>
    </w:p>
    <w:p w14:paraId="5B7BD47B" w14:textId="2D508D13" w:rsidR="0024031A" w:rsidRDefault="0024031A" w:rsidP="00BA467E">
      <w:pPr>
        <w:pStyle w:val="Bullets"/>
        <w:numPr>
          <w:ilvl w:val="0"/>
          <w:numId w:val="37"/>
        </w:numPr>
        <w:ind w:left="567" w:hanging="294"/>
      </w:pPr>
      <w:r>
        <w:t>Site specific nutrient management.</w:t>
      </w:r>
    </w:p>
    <w:p w14:paraId="38935105" w14:textId="545623B1" w:rsidR="0024031A" w:rsidRDefault="0024031A" w:rsidP="00BA467E">
      <w:pPr>
        <w:pStyle w:val="Bullets"/>
      </w:pPr>
      <w:r>
        <w:t>Despite the best management efforts of growers, yield losses can often be associated with older ratoon crops</w:t>
      </w:r>
      <w:r w:rsidR="00725308">
        <w:t xml:space="preserve">. </w:t>
      </w:r>
      <w:r>
        <w:t xml:space="preserve">Data showed that plant and 1R cane yields are almost identical with yield loss beginning in 2R crops and continuing a constant rate of decline of approximately 4 to 5% per year. </w:t>
      </w:r>
    </w:p>
    <w:p w14:paraId="0697FA99" w14:textId="23AB8FB5" w:rsidR="0024031A" w:rsidRDefault="0024031A" w:rsidP="00BA467E">
      <w:pPr>
        <w:pStyle w:val="Bullets"/>
      </w:pPr>
      <w:r>
        <w:t>Cumulatively the yield loss (as expressed against the yield achieved as plant cane) reaches 15% by 5R, 25% by 7R and accelerates sharply to 37% for 8R crops and older.</w:t>
      </w:r>
    </w:p>
    <w:p w14:paraId="0F756187" w14:textId="3E6D485D" w:rsidR="0024031A" w:rsidRDefault="0024031A" w:rsidP="00BA467E">
      <w:pPr>
        <w:pStyle w:val="Bullets"/>
      </w:pPr>
      <w:r>
        <w:t>There have been no field experiments investigating the effect of ratoon crop class on N fertiliser requirements in the same season.</w:t>
      </w:r>
    </w:p>
    <w:p w14:paraId="252B3663" w14:textId="562FE9DE" w:rsidR="0024031A" w:rsidRDefault="0024031A" w:rsidP="00BA467E">
      <w:pPr>
        <w:pStyle w:val="Bullets"/>
      </w:pPr>
      <w:r>
        <w:t>Older ratoon crops may still be highly productive because of favourable growing conditions and good crop and harvesting management. These better performing crops are still likely to provide a yield and economic response to applied N. In poorer performing older ratoon crops management strategies to improve NUE should focus on:</w:t>
      </w:r>
    </w:p>
    <w:p w14:paraId="05D22C3D" w14:textId="0D4EED3F" w:rsidR="0024031A" w:rsidRDefault="0024031A" w:rsidP="00BA467E">
      <w:pPr>
        <w:pStyle w:val="Bullets"/>
        <w:numPr>
          <w:ilvl w:val="0"/>
          <w:numId w:val="38"/>
        </w:numPr>
        <w:ind w:left="567" w:hanging="294"/>
      </w:pPr>
      <w:r>
        <w:t>Assessing crop appearance and performance to help identify any underlying crop growth and N-response constraints.</w:t>
      </w:r>
    </w:p>
    <w:p w14:paraId="6AF7E372" w14:textId="45E7D089" w:rsidR="0024031A" w:rsidRDefault="0024031A" w:rsidP="00BA467E">
      <w:pPr>
        <w:pStyle w:val="Bullets"/>
        <w:numPr>
          <w:ilvl w:val="0"/>
          <w:numId w:val="38"/>
        </w:numPr>
        <w:ind w:left="567" w:hanging="294"/>
      </w:pPr>
      <w:r>
        <w:t>Reassessing nutritional requirements and applying any required soil ameliorants.</w:t>
      </w:r>
    </w:p>
    <w:p w14:paraId="42DD6A99" w14:textId="22735CE3" w:rsidR="0024031A" w:rsidRDefault="0024031A" w:rsidP="00BA467E">
      <w:pPr>
        <w:pStyle w:val="Bullets"/>
        <w:numPr>
          <w:ilvl w:val="0"/>
          <w:numId w:val="38"/>
        </w:numPr>
        <w:ind w:left="567" w:hanging="294"/>
      </w:pPr>
      <w:r>
        <w:t xml:space="preserve">If constraints cannot be addressed or the reasons for poor performance are not known, then it may be possible to reduce N application rates, especially in the last ratoon crop. Any changes to </w:t>
      </w:r>
      <w:proofErr w:type="spellStart"/>
      <w:r>
        <w:t>N</w:t>
      </w:r>
      <w:proofErr w:type="spellEnd"/>
      <w:r>
        <w:t xml:space="preserve"> application rates should be evaluated on farm. </w:t>
      </w:r>
    </w:p>
    <w:p w14:paraId="434F55DC" w14:textId="4B44C780" w:rsidR="0024031A" w:rsidRDefault="0024031A" w:rsidP="00BA467E">
      <w:pPr>
        <w:pStyle w:val="Bullets"/>
      </w:pPr>
      <w:r>
        <w:t>Timeliness of operations and farming system are other important considerations to minimise the impact of waterlogging and water tables on crop growth and responsiveness to applied N. These strategies may also vary spatially within a mill area due to spatial and temporal climate variability.</w:t>
      </w:r>
    </w:p>
    <w:p w14:paraId="559DB070" w14:textId="3CCDD51D" w:rsidR="0024031A" w:rsidRDefault="0024031A" w:rsidP="00BA467E">
      <w:pPr>
        <w:pStyle w:val="Bullets"/>
      </w:pPr>
      <w:r>
        <w:t>Opportunities to refine management practices have been linked to critical stages of the sugarcane production system</w:t>
      </w:r>
      <w:r w:rsidR="00725308">
        <w:t xml:space="preserve">. </w:t>
      </w:r>
      <w:r>
        <w:t>These are: planning for the next crop, fallow management, plant cane establishment, ratoon management and harvest management.</w:t>
      </w:r>
    </w:p>
    <w:p w14:paraId="4F960C5E" w14:textId="5F2EA36A" w:rsidR="0024031A" w:rsidRPr="00BA467E" w:rsidRDefault="0024031A" w:rsidP="00725308">
      <w:pPr>
        <w:pStyle w:val="BodyCopy"/>
        <w:spacing w:before="240"/>
        <w:rPr>
          <w:b/>
          <w:bCs/>
        </w:rPr>
      </w:pPr>
      <w:r w:rsidRPr="00BA467E">
        <w:rPr>
          <w:b/>
          <w:bCs/>
        </w:rPr>
        <w:t>Wet Tropics Region</w:t>
      </w:r>
    </w:p>
    <w:p w14:paraId="4A655B1F" w14:textId="1B61AA09" w:rsidR="0024031A" w:rsidRDefault="0024031A" w:rsidP="00BA467E">
      <w:pPr>
        <w:pStyle w:val="Bullets"/>
      </w:pPr>
      <w:r>
        <w:t>The Wet Tropics agronomic soil groups were packaged into an interactive web application titled ‘Agronomic Management of Sugarcane Soils in the Wet Tropics’</w:t>
      </w:r>
      <w:r w:rsidR="00725308">
        <w:t xml:space="preserve">. </w:t>
      </w:r>
    </w:p>
    <w:p w14:paraId="2D65A076" w14:textId="674F6A4F" w:rsidR="0024031A" w:rsidRDefault="0024031A" w:rsidP="00BA467E">
      <w:pPr>
        <w:pStyle w:val="Bullets"/>
      </w:pPr>
      <w:r>
        <w:t xml:space="preserve">The agronomic soil group narrative is supported with images, videos, maps, social sharing tools and links to further information, designed to create a unique and user-friendly learning experience for growers, advisors, and industry stakeholders. </w:t>
      </w:r>
    </w:p>
    <w:p w14:paraId="2EC98D6F" w14:textId="76ACA073" w:rsidR="0024031A" w:rsidRDefault="0024031A" w:rsidP="00BA467E">
      <w:pPr>
        <w:pStyle w:val="Bullets"/>
      </w:pPr>
      <w:r>
        <w:lastRenderedPageBreak/>
        <w:t>The application was complemented by interactive maps to illustrate spatial patterns, information relating to regional climate influences, and on-farm management strategies to improve crop performance and responsiveness to applied N for each soil group provided by experienced researchers and extension officers.</w:t>
      </w:r>
    </w:p>
    <w:p w14:paraId="0543A881" w14:textId="755905C3" w:rsidR="0024031A" w:rsidRDefault="0024031A" w:rsidP="00BA467E">
      <w:pPr>
        <w:pStyle w:val="Bullets"/>
      </w:pPr>
      <w:r>
        <w:t xml:space="preserve">The field experiments provide site-specific evidence there is potential to refine on-farm N rates (based on the 6ES guidelines) for well-drained, poorly drained, </w:t>
      </w:r>
      <w:proofErr w:type="gramStart"/>
      <w:r>
        <w:t>sodic</w:t>
      </w:r>
      <w:proofErr w:type="gramEnd"/>
      <w:r>
        <w:t xml:space="preserve"> and non-sodic duplex soils, in some circumstances</w:t>
      </w:r>
      <w:r w:rsidR="00725308">
        <w:t xml:space="preserve">. </w:t>
      </w:r>
      <w:r>
        <w:t>However, any refinements to on-farm N rates need to be evaluated, on-farm, prior to widespread adoption as the results also indicated reducing N rates can result in lower productivity and profitability.</w:t>
      </w:r>
    </w:p>
    <w:p w14:paraId="0FA413CA" w14:textId="19E8FC62" w:rsidR="0024031A" w:rsidRDefault="0024031A" w:rsidP="00BA467E">
      <w:pPr>
        <w:pStyle w:val="Bullets"/>
      </w:pPr>
      <w:r>
        <w:t>The project included good collaborative partnerships with growers, input from other research, industry and government representatives and some adoption and/or communication activities in the form of oral presentations at grower shed meetings, advisor updates, stakeholder workshops and articles in scientific and industry publications.</w:t>
      </w:r>
    </w:p>
    <w:p w14:paraId="7245A326" w14:textId="77777777" w:rsidR="0024031A" w:rsidRDefault="0024031A" w:rsidP="00BA467E">
      <w:pPr>
        <w:pStyle w:val="Heading1"/>
      </w:pPr>
      <w:r>
        <w:t xml:space="preserve">Outcomes   </w:t>
      </w:r>
    </w:p>
    <w:p w14:paraId="7490EEA0" w14:textId="7E7D86A7" w:rsidR="0024031A" w:rsidRDefault="0024031A" w:rsidP="00BA467E">
      <w:pPr>
        <w:pStyle w:val="Bullets"/>
      </w:pPr>
      <w:r>
        <w:t>The information generated in this project is likely to result in the development of important resources for the 6ES Toolbox</w:t>
      </w:r>
      <w:r w:rsidR="00725308">
        <w:t xml:space="preserve">. </w:t>
      </w:r>
      <w:r>
        <w:t>This may include case studies for waterlogged soils, sodic soils and crops harvested late in the season along with agronomic soil groups for the Central and Wet Tropics regions</w:t>
      </w:r>
      <w:r w:rsidR="00725308">
        <w:t xml:space="preserve">. </w:t>
      </w:r>
    </w:p>
    <w:p w14:paraId="771F59D9" w14:textId="657AF938" w:rsidR="0024031A" w:rsidRDefault="0024031A" w:rsidP="00BA467E">
      <w:pPr>
        <w:pStyle w:val="Bullets"/>
      </w:pPr>
      <w:r>
        <w:t>It was also anticipated that the interactive online tool to promote and disseminate the Wet Tropics agronomic soil groups and other important information related to sugarcane production, regional climate influences and different on-farm management strategies to improve crop growth and N responsiveness will be approved by the 6ES Advisory Committee for inclusion in the 6ES Toolbox.</w:t>
      </w:r>
    </w:p>
    <w:p w14:paraId="08C6BF10" w14:textId="10EBFCF4" w:rsidR="0024031A" w:rsidRDefault="0024031A" w:rsidP="00BA467E">
      <w:pPr>
        <w:pStyle w:val="Bullets"/>
      </w:pPr>
      <w:r>
        <w:t>Also, the identification of the spatial location of soils with different average productivity potentials and ESP risk probabilities will allow growers and advisors to better target sampling efforts and opportunities to alleviate constraints and improve productivity</w:t>
      </w:r>
      <w:r w:rsidR="00725308">
        <w:t xml:space="preserve">. </w:t>
      </w:r>
    </w:p>
    <w:p w14:paraId="4B9C8B93" w14:textId="40D79F6E" w:rsidR="0024031A" w:rsidRDefault="0024031A" w:rsidP="00BA467E">
      <w:pPr>
        <w:pStyle w:val="Bullets"/>
      </w:pPr>
      <w:r>
        <w:t>This may also include greater emphasis on the assessment of subsoil constraints which are not captured in traditional soil testing efforts to determine nutritional requirements of the sugarcane crop</w:t>
      </w:r>
      <w:r w:rsidR="00725308">
        <w:t xml:space="preserve">. </w:t>
      </w:r>
      <w:r>
        <w:t xml:space="preserve">   </w:t>
      </w:r>
    </w:p>
    <w:p w14:paraId="4FA35A2C" w14:textId="0B3435BC" w:rsidR="0024031A" w:rsidRDefault="0024031A" w:rsidP="00BA467E">
      <w:pPr>
        <w:pStyle w:val="Bullets"/>
      </w:pPr>
      <w:r>
        <w:t>In the Wet Tropics region, knowledge of differences in sugarcane growth, responsiveness to N and potential for N losses between soils, for wet and dry years, will allow growers and advisors to better identify areas where management strategies may require further fine-tuning</w:t>
      </w:r>
      <w:r w:rsidR="00725308">
        <w:t xml:space="preserve">. </w:t>
      </w:r>
    </w:p>
    <w:p w14:paraId="48C726AC" w14:textId="005D2ADE" w:rsidR="0024031A" w:rsidRDefault="0024031A" w:rsidP="00BA467E">
      <w:pPr>
        <w:pStyle w:val="Bullets"/>
      </w:pPr>
      <w:r>
        <w:t xml:space="preserve">For example, in wet years, for the soils contained in ‘group five’, it may be appropriate to evaluate EEF, lower N application rates or split application of N fertiliser compared to the 6ES N guideline derived from soil test results. </w:t>
      </w:r>
    </w:p>
    <w:p w14:paraId="1B23626A" w14:textId="35B3E42D" w:rsidR="0024031A" w:rsidRDefault="0024031A" w:rsidP="00BA467E">
      <w:pPr>
        <w:pStyle w:val="Bullets"/>
      </w:pPr>
      <w:r>
        <w:t>Referring to climate forecasts to better identify the timing of fertiliser applications and possible adjustments to application rates could also be considered.</w:t>
      </w:r>
    </w:p>
    <w:p w14:paraId="37832C63" w14:textId="126A539F" w:rsidR="0024031A" w:rsidRDefault="0024031A" w:rsidP="00BA467E">
      <w:pPr>
        <w:pStyle w:val="Bullets"/>
      </w:pPr>
      <w:r>
        <w:t xml:space="preserve">The field experiments have provided site-specific evidence there is potential to refine on-farm N rates (based on the 6ES guidelines) for well-drained, poorly drained, </w:t>
      </w:r>
      <w:proofErr w:type="gramStart"/>
      <w:r>
        <w:t>sodic</w:t>
      </w:r>
      <w:proofErr w:type="gramEnd"/>
      <w:r>
        <w:t xml:space="preserve"> and non-sodic duplex soils, in some circumstances</w:t>
      </w:r>
      <w:r w:rsidR="00725308">
        <w:t xml:space="preserve">. </w:t>
      </w:r>
      <w:r>
        <w:t>However, any refinements to on-farm N rates need to be evaluated on-farm, prior to widespread adoption as the project results also indicated reducing N rates can result in lower productivity and profitability.</w:t>
      </w:r>
    </w:p>
    <w:p w14:paraId="3E4AAE6D" w14:textId="48681E2F" w:rsidR="0024031A" w:rsidRDefault="0024031A" w:rsidP="00BA467E">
      <w:pPr>
        <w:pStyle w:val="Bullets"/>
      </w:pPr>
      <w:r>
        <w:t>The identification of agronomic soil groups is an extremely useful resource, which will complement the development of whole-of-farm nutrient management planning in the Wet Tropics and Central regions</w:t>
      </w:r>
      <w:r w:rsidR="00725308">
        <w:t xml:space="preserve">. </w:t>
      </w:r>
      <w:r>
        <w:t>It also will improve industry knowledge of potential soil constraints and help identify situations where crop responsiveness to applied N may be reduced</w:t>
      </w:r>
      <w:r w:rsidR="00725308">
        <w:t xml:space="preserve">. </w:t>
      </w:r>
      <w:r>
        <w:t>This will help growers and advisors to better identify areas requiring improvements in farm and nutrient management</w:t>
      </w:r>
      <w:r w:rsidR="00725308">
        <w:t xml:space="preserve">. </w:t>
      </w:r>
    </w:p>
    <w:p w14:paraId="279F01CB" w14:textId="77777777" w:rsidR="0024031A" w:rsidRDefault="0024031A" w:rsidP="00BA467E">
      <w:pPr>
        <w:pStyle w:val="Heading1"/>
      </w:pPr>
      <w:r>
        <w:t>Impacts</w:t>
      </w:r>
    </w:p>
    <w:p w14:paraId="1F27E5CB" w14:textId="0DEF6774" w:rsidR="0024031A" w:rsidRDefault="0024031A" w:rsidP="0024031A">
      <w:pPr>
        <w:pStyle w:val="BodyCopy"/>
      </w:pPr>
      <w:r>
        <w:t xml:space="preserve">Project 2015/065 was completed in August 2020. As such, the outputs/findings have not yet been incorporated into the 6ES Toolbox. </w:t>
      </w:r>
    </w:p>
    <w:p w14:paraId="2A9174C5" w14:textId="3460905A" w:rsidR="0024031A" w:rsidRDefault="0024031A" w:rsidP="0024031A">
      <w:pPr>
        <w:pStyle w:val="BodyCopy"/>
      </w:pPr>
      <w:r>
        <w:t xml:space="preserve">However, the project included good collaborative partnerships with growers, input from other research, industry and government representatives and some adoption and/or communication activities in the form of oral </w:t>
      </w:r>
      <w:r>
        <w:lastRenderedPageBreak/>
        <w:t xml:space="preserve">presentations at grower shed meetings, advisor updates, stakeholder workshops and articles in scientific and industry publications. Therefore, it is likely that some growers in the Central and/or Wet Tropics regions have made changes to improve NUE using information and results from project 2015/065 (such as knowledge of crop responsiveness to applied N given </w:t>
      </w:r>
      <w:proofErr w:type="gramStart"/>
      <w:r>
        <w:t>particular soil</w:t>
      </w:r>
      <w:proofErr w:type="gramEnd"/>
      <w:r>
        <w:t xml:space="preserve"> constraints). </w:t>
      </w:r>
    </w:p>
    <w:p w14:paraId="29397B9D" w14:textId="77777777" w:rsidR="0024031A" w:rsidRDefault="0024031A" w:rsidP="0024031A">
      <w:pPr>
        <w:pStyle w:val="BodyCopy"/>
      </w:pPr>
      <w:r>
        <w:t>The primary impact of project 2015/065 is likely to be increased productivity and/or profitability for some Australian sugarcane growers because of increased NUE driven by:</w:t>
      </w:r>
    </w:p>
    <w:p w14:paraId="1D480BE8" w14:textId="36330BF8" w:rsidR="0024031A" w:rsidRDefault="0024031A" w:rsidP="00BA467E">
      <w:pPr>
        <w:pStyle w:val="Bullets"/>
      </w:pPr>
      <w:r>
        <w:t>Reduced N fertiliser use with maintained productivity,</w:t>
      </w:r>
    </w:p>
    <w:p w14:paraId="6FFD7CE6" w14:textId="59906D0C" w:rsidR="0024031A" w:rsidRDefault="0024031A" w:rsidP="00BA467E">
      <w:pPr>
        <w:pStyle w:val="Bullets"/>
      </w:pPr>
      <w:r>
        <w:t>Increased average sugarcane yields from increased or improved N fertiliser management, and</w:t>
      </w:r>
    </w:p>
    <w:p w14:paraId="6AAD778B" w14:textId="6627E850" w:rsidR="0024031A" w:rsidRDefault="0024031A" w:rsidP="00BA467E">
      <w:pPr>
        <w:pStyle w:val="Bullets"/>
      </w:pPr>
      <w:r>
        <w:t>Improved management of existing N fertiliser practices through improved understanding of constraints.</w:t>
      </w:r>
    </w:p>
    <w:p w14:paraId="11CF4D57" w14:textId="1E476DD1" w:rsidR="0024031A" w:rsidRDefault="0024031A" w:rsidP="00661CA8">
      <w:pPr>
        <w:pStyle w:val="BodyCopy"/>
        <w:spacing w:before="240"/>
      </w:pPr>
      <w:r>
        <w:t>A summary of the principal types of likely impacts associated with the outcomes of the project is shown in Table A2.</w:t>
      </w:r>
    </w:p>
    <w:p w14:paraId="74B60673" w14:textId="3566FD70" w:rsidR="0024031A" w:rsidRDefault="0024031A" w:rsidP="00BA467E">
      <w:pPr>
        <w:pStyle w:val="TableHeading"/>
      </w:pPr>
      <w:r>
        <w:t>Table A2: Categories of Principal Impacts and Potential Impacts from the Investment</w:t>
      </w:r>
    </w:p>
    <w:tbl>
      <w:tblPr>
        <w:tblStyle w:val="SRATable"/>
        <w:tblW w:w="9067" w:type="dxa"/>
        <w:tblLayout w:type="fixed"/>
        <w:tblLook w:val="0000" w:firstRow="0" w:lastRow="0" w:firstColumn="0" w:lastColumn="0" w:noHBand="0" w:noVBand="0"/>
      </w:tblPr>
      <w:tblGrid>
        <w:gridCol w:w="9067"/>
      </w:tblGrid>
      <w:tr w:rsidR="00BA467E" w:rsidRPr="003A77C1" w14:paraId="4808DE82" w14:textId="77777777" w:rsidTr="00BA467E">
        <w:tc>
          <w:tcPr>
            <w:tcW w:w="9067" w:type="dxa"/>
          </w:tcPr>
          <w:p w14:paraId="10609C37" w14:textId="77777777" w:rsidR="00BA467E" w:rsidRPr="00BA467E" w:rsidRDefault="00BA467E" w:rsidP="00BA467E">
            <w:pPr>
              <w:pStyle w:val="TableDataHeading"/>
            </w:pPr>
            <w:bookmarkStart w:id="0" w:name="_Hlk53129797"/>
            <w:r w:rsidRPr="00BA467E">
              <w:t xml:space="preserve">Economic </w:t>
            </w:r>
          </w:p>
          <w:p w14:paraId="6555A7DF" w14:textId="77777777" w:rsidR="00BA467E" w:rsidRDefault="00BA467E" w:rsidP="00BA467E">
            <w:pPr>
              <w:pStyle w:val="BodyCopy"/>
            </w:pPr>
            <w:r>
              <w:t>Increased productivity/profitability from increased NUE driven by:</w:t>
            </w:r>
          </w:p>
          <w:p w14:paraId="2215F134" w14:textId="77777777" w:rsidR="00BA467E" w:rsidRDefault="00BA467E" w:rsidP="00BA467E">
            <w:pPr>
              <w:pStyle w:val="Bullets"/>
            </w:pPr>
            <w:r>
              <w:t>Reduced N fertiliser use with maintained productivity,</w:t>
            </w:r>
          </w:p>
          <w:p w14:paraId="3ED30D8A" w14:textId="77777777" w:rsidR="00BA467E" w:rsidRDefault="00BA467E" w:rsidP="00BA467E">
            <w:pPr>
              <w:pStyle w:val="Bullets"/>
            </w:pPr>
            <w:r>
              <w:t>Increased average sugarcane yields from increased or improved N fertiliser management, and</w:t>
            </w:r>
          </w:p>
          <w:p w14:paraId="41BB4312" w14:textId="77777777" w:rsidR="00BA467E" w:rsidRPr="003A77C1" w:rsidRDefault="00BA467E" w:rsidP="00BA467E">
            <w:pPr>
              <w:pStyle w:val="Bullets"/>
            </w:pPr>
            <w:r>
              <w:t>Improved management of existing N fertiliser practices through improved understanding of constraints.</w:t>
            </w:r>
          </w:p>
        </w:tc>
      </w:tr>
      <w:tr w:rsidR="00BA467E" w:rsidRPr="003A77C1" w14:paraId="4E901750" w14:textId="77777777" w:rsidTr="00BA467E">
        <w:tc>
          <w:tcPr>
            <w:tcW w:w="9067" w:type="dxa"/>
          </w:tcPr>
          <w:p w14:paraId="174CFA52" w14:textId="77777777" w:rsidR="00BA467E" w:rsidRPr="00BA467E" w:rsidRDefault="00BA467E" w:rsidP="00BA467E">
            <w:pPr>
              <w:pStyle w:val="TableDataHeading"/>
            </w:pPr>
            <w:r w:rsidRPr="00BA467E">
              <w:t xml:space="preserve">Environmental </w:t>
            </w:r>
          </w:p>
          <w:p w14:paraId="7F2BCE23" w14:textId="77777777" w:rsidR="00BA467E" w:rsidRPr="003A77C1" w:rsidRDefault="00BA467E" w:rsidP="009E7CC2">
            <w:pPr>
              <w:pStyle w:val="Bullets"/>
            </w:pPr>
            <w:bookmarkStart w:id="1" w:name="_Hlk522861908"/>
            <w:r w:rsidRPr="003A77C1">
              <w:t>Potential</w:t>
            </w:r>
            <w:r>
              <w:t>ly, a</w:t>
            </w:r>
            <w:r w:rsidRPr="003A77C1">
              <w:t xml:space="preserve"> reduction in export of fertiliser N to off-farm environments, including the GBR.</w:t>
            </w:r>
            <w:bookmarkEnd w:id="1"/>
          </w:p>
        </w:tc>
      </w:tr>
      <w:tr w:rsidR="00BA467E" w:rsidRPr="003A77C1" w14:paraId="2EA72B91" w14:textId="77777777" w:rsidTr="00BA467E">
        <w:tc>
          <w:tcPr>
            <w:tcW w:w="9067" w:type="dxa"/>
          </w:tcPr>
          <w:p w14:paraId="08DB48FC" w14:textId="77777777" w:rsidR="00BA467E" w:rsidRPr="00BA467E" w:rsidRDefault="00BA467E" w:rsidP="00BA467E">
            <w:pPr>
              <w:pStyle w:val="TableDataHeading"/>
              <w:rPr>
                <w:sz w:val="16"/>
                <w:szCs w:val="16"/>
              </w:rPr>
            </w:pPr>
            <w:r w:rsidRPr="00BA467E">
              <w:t>Social</w:t>
            </w:r>
          </w:p>
          <w:p w14:paraId="5F8B94C1" w14:textId="77777777" w:rsidR="00BA467E" w:rsidRPr="00BA467E" w:rsidRDefault="00BA467E" w:rsidP="00BA467E">
            <w:pPr>
              <w:pStyle w:val="Bullets"/>
            </w:pPr>
            <w:proofErr w:type="spellStart"/>
            <w:r w:rsidRPr="00BA467E">
              <w:t>Spillover</w:t>
            </w:r>
            <w:proofErr w:type="spellEnd"/>
            <w:r w:rsidRPr="00BA467E">
              <w:t xml:space="preserve"> impacts to regional communities from increased sugarcane industry net incomes. </w:t>
            </w:r>
          </w:p>
          <w:p w14:paraId="08D6AC93" w14:textId="77777777" w:rsidR="00BA467E" w:rsidRPr="003A77C1" w:rsidRDefault="00BA467E" w:rsidP="00BA467E">
            <w:pPr>
              <w:pStyle w:val="Bullets"/>
            </w:pPr>
            <w:r w:rsidRPr="00BA467E">
              <w:t>Maintained social licence to operate for some sugarcane producers from improved N fertiliser management.</w:t>
            </w:r>
            <w:r w:rsidRPr="00356C52">
              <w:t xml:space="preserve"> </w:t>
            </w:r>
          </w:p>
        </w:tc>
      </w:tr>
      <w:bookmarkEnd w:id="0"/>
    </w:tbl>
    <w:p w14:paraId="4B156F6E" w14:textId="77777777" w:rsidR="00BA467E" w:rsidRDefault="00BA467E" w:rsidP="00BA467E">
      <w:pPr>
        <w:pStyle w:val="TableHeading"/>
      </w:pPr>
    </w:p>
    <w:p w14:paraId="06226F87" w14:textId="77777777" w:rsidR="0024031A" w:rsidRDefault="0024031A" w:rsidP="00BA467E">
      <w:pPr>
        <w:pStyle w:val="Heading2"/>
      </w:pPr>
      <w:r>
        <w:t>Public versus Private Impacts</w:t>
      </w:r>
    </w:p>
    <w:p w14:paraId="68BA8DBA" w14:textId="0055171B" w:rsidR="0024031A" w:rsidRDefault="0024031A" w:rsidP="0024031A">
      <w:pPr>
        <w:pStyle w:val="BodyCopy"/>
      </w:pPr>
      <w:r>
        <w:t>The key potential impacts will be private, initially delivered to some sugarcane growers that affect practice change to improve NUE</w:t>
      </w:r>
      <w:r w:rsidR="00725308">
        <w:t xml:space="preserve">. </w:t>
      </w:r>
      <w:r>
        <w:t xml:space="preserve">Some additional private impacts could be delivered to sugarcane processors via increased cane production. </w:t>
      </w:r>
    </w:p>
    <w:p w14:paraId="2DBB6320" w14:textId="654AF4C0" w:rsidR="0024031A" w:rsidRDefault="0024031A" w:rsidP="0024031A">
      <w:pPr>
        <w:pStyle w:val="BodyCopy"/>
      </w:pPr>
      <w:r>
        <w:t xml:space="preserve">Public impacts are likely to be in the form of environmental benefits from a potential net reduction in the level of N entering waterways (including the GBR lagoon) and from regional </w:t>
      </w:r>
      <w:proofErr w:type="spellStart"/>
      <w:r>
        <w:t>spillovers</w:t>
      </w:r>
      <w:proofErr w:type="spellEnd"/>
      <w:r>
        <w:t xml:space="preserve"> from increased grower incomes.</w:t>
      </w:r>
    </w:p>
    <w:p w14:paraId="08D694D3" w14:textId="77777777" w:rsidR="0024031A" w:rsidRDefault="0024031A" w:rsidP="00BA467E">
      <w:pPr>
        <w:pStyle w:val="Heading2"/>
      </w:pPr>
      <w:r>
        <w:t xml:space="preserve">Distribution of Impacts along the Supply Chain </w:t>
      </w:r>
    </w:p>
    <w:p w14:paraId="57941075" w14:textId="079C5BB8" w:rsidR="0024031A" w:rsidRDefault="0024031A" w:rsidP="0024031A">
      <w:pPr>
        <w:pStyle w:val="BodyCopy"/>
      </w:pPr>
      <w:r>
        <w:t>The project is likely to have contributed to direct private productivity/profitability impacts for Australian sugarcane producers through improved NUE driven largely by reduced N fertiliser use/N savings. Secondary productivity/profitability impacts may accrue to the Australian sugarcane milling sector if, in the future, improved NUE on-farm results in increased sugarcane yields and therefore increased cane processing.</w:t>
      </w:r>
    </w:p>
    <w:p w14:paraId="66484D3D" w14:textId="77777777" w:rsidR="0024031A" w:rsidRDefault="0024031A" w:rsidP="00BA467E">
      <w:pPr>
        <w:pStyle w:val="Heading2"/>
      </w:pPr>
      <w:r>
        <w:t>Impacts on other Primary Industries</w:t>
      </w:r>
    </w:p>
    <w:p w14:paraId="5E158AB7" w14:textId="14775FE3" w:rsidR="0024031A" w:rsidRDefault="0024031A" w:rsidP="0024031A">
      <w:pPr>
        <w:pStyle w:val="BodyCopy"/>
      </w:pPr>
      <w:r>
        <w:t xml:space="preserve">There are not likely to be any direct impacts to other agricultural industries from the investment. However, it is possible that scientific knowledge sharing through research and industry networks may create some </w:t>
      </w:r>
      <w:proofErr w:type="spellStart"/>
      <w:r>
        <w:t>spillover</w:t>
      </w:r>
      <w:proofErr w:type="spellEnd"/>
      <w:r>
        <w:t xml:space="preserve"> impacts to other cropping industries targeting NUE.</w:t>
      </w:r>
    </w:p>
    <w:p w14:paraId="7B77701C" w14:textId="77777777" w:rsidR="0024031A" w:rsidRDefault="0024031A" w:rsidP="00BA467E">
      <w:pPr>
        <w:pStyle w:val="Heading2"/>
      </w:pPr>
      <w:r>
        <w:t>Impacts Overseas</w:t>
      </w:r>
    </w:p>
    <w:p w14:paraId="2A630409" w14:textId="42A64A3A" w:rsidR="0024031A" w:rsidRDefault="0024031A" w:rsidP="0024031A">
      <w:pPr>
        <w:pStyle w:val="BodyCopy"/>
      </w:pPr>
      <w:r>
        <w:t>No direct overseas impacts were identified.</w:t>
      </w:r>
    </w:p>
    <w:p w14:paraId="339EAA08" w14:textId="77777777" w:rsidR="0024031A" w:rsidRDefault="0024031A" w:rsidP="00BA467E">
      <w:pPr>
        <w:pStyle w:val="Heading2"/>
      </w:pPr>
      <w:r>
        <w:lastRenderedPageBreak/>
        <w:t>Match with National, State and SRA Priorities</w:t>
      </w:r>
    </w:p>
    <w:p w14:paraId="05638F99" w14:textId="007A66D8" w:rsidR="0024031A" w:rsidRDefault="0024031A" w:rsidP="0024031A">
      <w:pPr>
        <w:pStyle w:val="BodyCopy"/>
      </w:pPr>
      <w:r>
        <w:t>The Australian Government’s Science and Research Priorities and Rural RD&amp;E priorities are reproduced in Table A3. The Project 2015/065 investment has potentially contributed to Rural RD&amp;E Priority 3, with some minor contribution to Priority 4, and to Science and Research Priorities 1.</w:t>
      </w:r>
    </w:p>
    <w:p w14:paraId="5788970E" w14:textId="77777777" w:rsidR="0024031A" w:rsidRDefault="0024031A" w:rsidP="00BA467E">
      <w:pPr>
        <w:pStyle w:val="TableHeading"/>
      </w:pPr>
      <w:r>
        <w:t>Table A3: Australian Government Research Priorities</w:t>
      </w:r>
    </w:p>
    <w:tbl>
      <w:tblPr>
        <w:tblStyle w:val="SRATable"/>
        <w:tblW w:w="9067" w:type="dxa"/>
        <w:tblLook w:val="04A0" w:firstRow="1" w:lastRow="0" w:firstColumn="1" w:lastColumn="0" w:noHBand="0" w:noVBand="1"/>
      </w:tblPr>
      <w:tblGrid>
        <w:gridCol w:w="4248"/>
        <w:gridCol w:w="4819"/>
      </w:tblGrid>
      <w:tr w:rsidR="00BA467E" w:rsidRPr="00102FCD" w14:paraId="70FBC504" w14:textId="77777777" w:rsidTr="00725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05B0F6E1" w14:textId="77777777" w:rsidR="00BA467E" w:rsidRPr="00102FCD" w:rsidRDefault="00BA467E" w:rsidP="00BA467E">
            <w:pPr>
              <w:pStyle w:val="TableDataHeading"/>
              <w:rPr>
                <w:b/>
              </w:rPr>
            </w:pPr>
            <w:r w:rsidRPr="00102FCD">
              <w:rPr>
                <w:b/>
              </w:rPr>
              <w:t>Australian Government</w:t>
            </w:r>
          </w:p>
        </w:tc>
      </w:tr>
      <w:tr w:rsidR="00BA467E" w:rsidRPr="00102FCD" w14:paraId="7F966CB7" w14:textId="77777777" w:rsidTr="00725308">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248" w:type="dxa"/>
          </w:tcPr>
          <w:p w14:paraId="02B4FA56" w14:textId="42661FB1" w:rsidR="00BA467E" w:rsidRPr="00102FCD" w:rsidRDefault="00BA467E" w:rsidP="00725308">
            <w:pPr>
              <w:pStyle w:val="TableDataHeading"/>
            </w:pPr>
            <w:r w:rsidRPr="00102FCD">
              <w:t>Rural RD&amp;E Priorities (est. 2015)</w:t>
            </w:r>
          </w:p>
        </w:tc>
        <w:tc>
          <w:tcPr>
            <w:tcW w:w="4819" w:type="dxa"/>
          </w:tcPr>
          <w:p w14:paraId="73F4560F" w14:textId="77777777" w:rsidR="00BA467E" w:rsidRPr="00102FCD" w:rsidRDefault="00BA467E" w:rsidP="00BA467E">
            <w:pPr>
              <w:pStyle w:val="TableDataHeading"/>
              <w:cnfStyle w:val="000000000000" w:firstRow="0" w:lastRow="0" w:firstColumn="0" w:lastColumn="0" w:oddVBand="0" w:evenVBand="0" w:oddHBand="0" w:evenHBand="0" w:firstRowFirstColumn="0" w:firstRowLastColumn="0" w:lastRowFirstColumn="0" w:lastRowLastColumn="0"/>
            </w:pPr>
            <w:r w:rsidRPr="00102FCD">
              <w:t>Science and Research Priorities (est. 2015)</w:t>
            </w:r>
          </w:p>
        </w:tc>
      </w:tr>
      <w:tr w:rsidR="00BA467E" w:rsidRPr="00102FCD" w14:paraId="3FBA486D" w14:textId="77777777" w:rsidTr="00725308">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248" w:type="dxa"/>
            <w:vAlign w:val="top"/>
          </w:tcPr>
          <w:p w14:paraId="48D5B592" w14:textId="440F8DD8" w:rsidR="00BA467E" w:rsidRPr="00102FCD" w:rsidRDefault="00BA467E" w:rsidP="00725308">
            <w:pPr>
              <w:pStyle w:val="NumberedList"/>
              <w:numPr>
                <w:ilvl w:val="0"/>
                <w:numId w:val="41"/>
              </w:numPr>
              <w:ind w:left="306" w:hanging="284"/>
            </w:pPr>
            <w:r w:rsidRPr="00102FCD">
              <w:t>Advanced technology</w:t>
            </w:r>
          </w:p>
          <w:p w14:paraId="49A37D14" w14:textId="6FEAA223" w:rsidR="00BA467E" w:rsidRPr="00102FCD" w:rsidRDefault="00BA467E" w:rsidP="00725308">
            <w:pPr>
              <w:pStyle w:val="NumberedList"/>
            </w:pPr>
            <w:r w:rsidRPr="00102FCD">
              <w:t>Biosecurity</w:t>
            </w:r>
          </w:p>
          <w:p w14:paraId="20023658" w14:textId="283C8348" w:rsidR="00BA467E" w:rsidRPr="00102FCD" w:rsidRDefault="00BA467E" w:rsidP="00725308">
            <w:pPr>
              <w:pStyle w:val="NumberedList"/>
            </w:pPr>
            <w:r w:rsidRPr="00102FCD">
              <w:t>Soil, water and managing natural resources</w:t>
            </w:r>
          </w:p>
          <w:p w14:paraId="0FEB8BCA" w14:textId="4ED7F836" w:rsidR="00BA467E" w:rsidRPr="00102FCD" w:rsidRDefault="00BA467E" w:rsidP="00725308">
            <w:pPr>
              <w:pStyle w:val="NumberedList"/>
            </w:pPr>
            <w:r w:rsidRPr="00102FCD">
              <w:t>Adoption of R&amp;D</w:t>
            </w:r>
          </w:p>
        </w:tc>
        <w:tc>
          <w:tcPr>
            <w:tcW w:w="4819" w:type="dxa"/>
            <w:vAlign w:val="top"/>
          </w:tcPr>
          <w:p w14:paraId="5A5E723D" w14:textId="3EE137BC"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Food</w:t>
            </w:r>
          </w:p>
          <w:p w14:paraId="74516E4A" w14:textId="02832EB6"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 xml:space="preserve">Soil and Water </w:t>
            </w:r>
          </w:p>
          <w:p w14:paraId="73010ECE" w14:textId="64688CE2"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Transport</w:t>
            </w:r>
          </w:p>
          <w:p w14:paraId="0AA1F3D8" w14:textId="552DEDA8"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 xml:space="preserve">Cybersecurity </w:t>
            </w:r>
          </w:p>
          <w:p w14:paraId="02145474" w14:textId="1F493AA6"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 xml:space="preserve">Energy and Resources </w:t>
            </w:r>
          </w:p>
          <w:p w14:paraId="60F89558" w14:textId="2BE3E94F"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 xml:space="preserve">Manufacturing </w:t>
            </w:r>
          </w:p>
          <w:p w14:paraId="3B863B72" w14:textId="1EC2B898"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Environmental Change</w:t>
            </w:r>
          </w:p>
          <w:p w14:paraId="27A3532A" w14:textId="02916455" w:rsidR="00BA467E" w:rsidRPr="00102FCD" w:rsidRDefault="00BA467E" w:rsidP="00725308">
            <w:pPr>
              <w:pStyle w:val="NumberedList"/>
              <w:numPr>
                <w:ilvl w:val="0"/>
                <w:numId w:val="42"/>
              </w:numPr>
              <w:ind w:left="340" w:hanging="283"/>
              <w:cnfStyle w:val="000000000000" w:firstRow="0" w:lastRow="0" w:firstColumn="0" w:lastColumn="0" w:oddVBand="0" w:evenVBand="0" w:oddHBand="0" w:evenHBand="0" w:firstRowFirstColumn="0" w:firstRowLastColumn="0" w:lastRowFirstColumn="0" w:lastRowLastColumn="0"/>
            </w:pPr>
            <w:r w:rsidRPr="00102FCD">
              <w:t>Health</w:t>
            </w:r>
          </w:p>
        </w:tc>
      </w:tr>
    </w:tbl>
    <w:p w14:paraId="1B9AC374" w14:textId="77777777" w:rsidR="0024031A" w:rsidRDefault="0024031A" w:rsidP="00725308">
      <w:pPr>
        <w:pStyle w:val="Caption"/>
      </w:pPr>
      <w:r>
        <w:t>Sources: DAWE (2019) and Department of Industry, Science, Energy and Resources (2015)</w:t>
      </w:r>
    </w:p>
    <w:p w14:paraId="58C9AE23" w14:textId="77777777" w:rsidR="0024031A" w:rsidRDefault="0024031A" w:rsidP="00725308">
      <w:pPr>
        <w:pStyle w:val="Heading1"/>
      </w:pPr>
      <w:r>
        <w:t>SRA Research Priorities</w:t>
      </w:r>
    </w:p>
    <w:p w14:paraId="0F7E9EF7" w14:textId="6E6AF011" w:rsidR="0024031A" w:rsidRDefault="0024031A" w:rsidP="0024031A">
      <w:pPr>
        <w:pStyle w:val="BodyCopy"/>
      </w:pPr>
      <w:r>
        <w:t>SRA’s key focus areas are presented in Table A4. Project 2015/065 directly addressed KFA 2, but also, at least in part, addressed KFAs 4 and 7.</w:t>
      </w:r>
    </w:p>
    <w:p w14:paraId="07A52E98" w14:textId="77777777" w:rsidR="0024031A" w:rsidRDefault="0024031A" w:rsidP="00725308">
      <w:pPr>
        <w:pStyle w:val="TableHeading"/>
      </w:pPr>
      <w:r>
        <w:t>Table A4: SRA Strategic Focus Areas and Desired Outcomes</w:t>
      </w:r>
    </w:p>
    <w:tbl>
      <w:tblPr>
        <w:tblStyle w:val="SRATable"/>
        <w:tblW w:w="9067" w:type="dxa"/>
        <w:tblLook w:val="04A0" w:firstRow="1" w:lastRow="0" w:firstColumn="1" w:lastColumn="0" w:noHBand="0" w:noVBand="1"/>
      </w:tblPr>
      <w:tblGrid>
        <w:gridCol w:w="4106"/>
        <w:gridCol w:w="4961"/>
      </w:tblGrid>
      <w:tr w:rsidR="00725308" w:rsidRPr="00102FCD" w14:paraId="3F542E93" w14:textId="77777777" w:rsidTr="00160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1764A58" w14:textId="77777777" w:rsidR="00725308" w:rsidRPr="00931DE9" w:rsidRDefault="00725308" w:rsidP="00725308">
            <w:pPr>
              <w:pStyle w:val="TableDataHeading"/>
              <w:rPr>
                <w:b/>
              </w:rPr>
            </w:pPr>
            <w:r w:rsidRPr="00931DE9">
              <w:rPr>
                <w:b/>
              </w:rPr>
              <w:t>Key Focus Area (KFA)</w:t>
            </w:r>
          </w:p>
        </w:tc>
        <w:tc>
          <w:tcPr>
            <w:tcW w:w="4961" w:type="dxa"/>
          </w:tcPr>
          <w:p w14:paraId="720EDD7E" w14:textId="77777777" w:rsidR="00725308" w:rsidRPr="00931DE9" w:rsidRDefault="00725308" w:rsidP="00725308">
            <w:pPr>
              <w:pStyle w:val="TableDataHeading"/>
              <w:cnfStyle w:val="100000000000" w:firstRow="1" w:lastRow="0" w:firstColumn="0" w:lastColumn="0" w:oddVBand="0" w:evenVBand="0" w:oddHBand="0" w:evenHBand="0" w:firstRowFirstColumn="0" w:firstRowLastColumn="0" w:lastRowFirstColumn="0" w:lastRowLastColumn="0"/>
              <w:rPr>
                <w:b/>
              </w:rPr>
            </w:pPr>
            <w:r w:rsidRPr="00931DE9">
              <w:rPr>
                <w:b/>
              </w:rPr>
              <w:t xml:space="preserve">Outcomes </w:t>
            </w:r>
          </w:p>
        </w:tc>
      </w:tr>
      <w:tr w:rsidR="00725308" w:rsidRPr="00102FCD" w14:paraId="0508D61C"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1B8B845D" w14:textId="04C3F525" w:rsidR="00725308" w:rsidRPr="00102FCD" w:rsidRDefault="00725308" w:rsidP="00725308">
            <w:pPr>
              <w:pStyle w:val="NumberedList"/>
              <w:numPr>
                <w:ilvl w:val="0"/>
                <w:numId w:val="43"/>
              </w:numPr>
              <w:ind w:left="306" w:hanging="284"/>
            </w:pPr>
            <w:r w:rsidRPr="00102FCD">
              <w:t>Optimally adapted varieties, plant breeding and release</w:t>
            </w:r>
          </w:p>
        </w:tc>
        <w:tc>
          <w:tcPr>
            <w:tcW w:w="4961" w:type="dxa"/>
          </w:tcPr>
          <w:p w14:paraId="526197C9" w14:textId="77777777"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 xml:space="preserve">Increased sugarcane yield and commercial cane sugar (CCS) </w:t>
            </w:r>
          </w:p>
        </w:tc>
      </w:tr>
      <w:tr w:rsidR="00725308" w:rsidRPr="00102FCD" w14:paraId="2622A4FB"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3F0AACB7" w14:textId="1B968743" w:rsidR="00725308" w:rsidRPr="00102FCD" w:rsidRDefault="00725308" w:rsidP="00725308">
            <w:pPr>
              <w:pStyle w:val="NumberedList"/>
            </w:pPr>
            <w:r w:rsidRPr="00102FCD">
              <w:t xml:space="preserve">Soil health, nutrient </w:t>
            </w:r>
            <w:proofErr w:type="gramStart"/>
            <w:r w:rsidRPr="00102FCD">
              <w:t>management</w:t>
            </w:r>
            <w:proofErr w:type="gramEnd"/>
            <w:r w:rsidRPr="00102FCD">
              <w:t xml:space="preserve"> and environmental sustainability</w:t>
            </w:r>
          </w:p>
        </w:tc>
        <w:tc>
          <w:tcPr>
            <w:tcW w:w="4961" w:type="dxa"/>
          </w:tcPr>
          <w:p w14:paraId="1790B955" w14:textId="77777777"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Better soil health, reduced nutrient losses and improved water quality</w:t>
            </w:r>
          </w:p>
        </w:tc>
      </w:tr>
      <w:tr w:rsidR="00725308" w:rsidRPr="00102FCD" w14:paraId="238CFD5E"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1A200661" w14:textId="2A142452" w:rsidR="00725308" w:rsidRPr="00102FCD" w:rsidRDefault="00725308" w:rsidP="00725308">
            <w:pPr>
              <w:pStyle w:val="NumberedList"/>
            </w:pPr>
            <w:r w:rsidRPr="00102FCD">
              <w:t>Pest, disease and weed management</w:t>
            </w:r>
          </w:p>
        </w:tc>
        <w:tc>
          <w:tcPr>
            <w:tcW w:w="4961" w:type="dxa"/>
          </w:tcPr>
          <w:p w14:paraId="59A17EDE" w14:textId="77777777"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Reduced or avoided yield losses and/or added input costs</w:t>
            </w:r>
          </w:p>
        </w:tc>
      </w:tr>
      <w:tr w:rsidR="00725308" w:rsidRPr="00102FCD" w14:paraId="106E5D70"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72E0B625" w14:textId="211EA8D2" w:rsidR="00725308" w:rsidRPr="00102FCD" w:rsidRDefault="00725308" w:rsidP="00725308">
            <w:pPr>
              <w:pStyle w:val="NumberedList"/>
            </w:pPr>
            <w:r w:rsidRPr="00102FCD">
              <w:t>Farming systems and harvesting</w:t>
            </w:r>
          </w:p>
        </w:tc>
        <w:tc>
          <w:tcPr>
            <w:tcW w:w="4961" w:type="dxa"/>
          </w:tcPr>
          <w:p w14:paraId="31B88FB8" w14:textId="77777777"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 xml:space="preserve">Improved farm input-output efficiencies and profitability </w:t>
            </w:r>
          </w:p>
        </w:tc>
      </w:tr>
      <w:tr w:rsidR="00725308" w:rsidRPr="00102FCD" w14:paraId="11616C03"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7503521F" w14:textId="459EC076" w:rsidR="00725308" w:rsidRPr="00102FCD" w:rsidRDefault="00725308" w:rsidP="00725308">
            <w:pPr>
              <w:pStyle w:val="NumberedList"/>
            </w:pPr>
            <w:r w:rsidRPr="00102FCD">
              <w:t>Milling efficiency and technology</w:t>
            </w:r>
          </w:p>
        </w:tc>
        <w:tc>
          <w:tcPr>
            <w:tcW w:w="4961" w:type="dxa"/>
          </w:tcPr>
          <w:p w14:paraId="1B72778F" w14:textId="77777777"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Optimised production, improved capital u4lisa4on and waste minimisation</w:t>
            </w:r>
          </w:p>
        </w:tc>
      </w:tr>
      <w:tr w:rsidR="00725308" w:rsidRPr="00102FCD" w14:paraId="5BCF9B70"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6179785E" w14:textId="3028DC76" w:rsidR="00725308" w:rsidRPr="00102FCD" w:rsidRDefault="00725308" w:rsidP="00725308">
            <w:pPr>
              <w:pStyle w:val="NumberedList"/>
            </w:pPr>
            <w:r w:rsidRPr="00102FCD">
              <w:t>Product diversification and value adding</w:t>
            </w:r>
          </w:p>
        </w:tc>
        <w:tc>
          <w:tcPr>
            <w:tcW w:w="4961" w:type="dxa"/>
          </w:tcPr>
          <w:p w14:paraId="35215BE8" w14:textId="67844559"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Diversified revenue streams and product innovation</w:t>
            </w:r>
          </w:p>
        </w:tc>
      </w:tr>
      <w:tr w:rsidR="00725308" w:rsidRPr="00102FCD" w14:paraId="22A192ED"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468AEE74" w14:textId="592894B6" w:rsidR="00725308" w:rsidRPr="00102FCD" w:rsidRDefault="00725308" w:rsidP="00725308">
            <w:pPr>
              <w:pStyle w:val="NumberedList"/>
            </w:pPr>
            <w:r w:rsidRPr="00102FCD">
              <w:t>Knowledge and technology transfer and adoption</w:t>
            </w:r>
          </w:p>
        </w:tc>
        <w:tc>
          <w:tcPr>
            <w:tcW w:w="4961" w:type="dxa"/>
          </w:tcPr>
          <w:p w14:paraId="7AAEE559" w14:textId="36CD0526"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 xml:space="preserve">Accelerated adoption of new technology and practice change </w:t>
            </w:r>
          </w:p>
        </w:tc>
      </w:tr>
      <w:tr w:rsidR="00725308" w:rsidRPr="00102FCD" w14:paraId="642844D5"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2B8E50DC" w14:textId="7F897BDC" w:rsidR="00725308" w:rsidRPr="00102FCD" w:rsidRDefault="00725308" w:rsidP="00725308">
            <w:pPr>
              <w:pStyle w:val="NumberedList"/>
            </w:pPr>
            <w:r w:rsidRPr="00102FCD">
              <w:t>Collaboration and capability development</w:t>
            </w:r>
          </w:p>
        </w:tc>
        <w:tc>
          <w:tcPr>
            <w:tcW w:w="4961" w:type="dxa"/>
          </w:tcPr>
          <w:p w14:paraId="3AB8F1FD" w14:textId="4AAF012D"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Enhanced industry and research capability and capacity</w:t>
            </w:r>
          </w:p>
        </w:tc>
      </w:tr>
      <w:tr w:rsidR="00725308" w:rsidRPr="00102FCD" w14:paraId="77DB7784"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4106" w:type="dxa"/>
          </w:tcPr>
          <w:p w14:paraId="77E59BFB" w14:textId="2E1FA511" w:rsidR="00725308" w:rsidRPr="00102FCD" w:rsidRDefault="00725308" w:rsidP="00725308">
            <w:pPr>
              <w:pStyle w:val="NumberedList"/>
            </w:pPr>
            <w:r w:rsidRPr="00102FCD">
              <w:t>Organisational effectiveness</w:t>
            </w:r>
          </w:p>
        </w:tc>
        <w:tc>
          <w:tcPr>
            <w:tcW w:w="4961" w:type="dxa"/>
          </w:tcPr>
          <w:p w14:paraId="4BE6FF42" w14:textId="58654E5B" w:rsidR="00725308" w:rsidRPr="00102FCD" w:rsidRDefault="00725308" w:rsidP="00725308">
            <w:pPr>
              <w:pStyle w:val="Tabledata"/>
              <w:cnfStyle w:val="000000000000" w:firstRow="0" w:lastRow="0" w:firstColumn="0" w:lastColumn="0" w:oddVBand="0" w:evenVBand="0" w:oddHBand="0" w:evenHBand="0" w:firstRowFirstColumn="0" w:firstRowLastColumn="0" w:lastRowFirstColumn="0" w:lastRowLastColumn="0"/>
            </w:pPr>
            <w:r w:rsidRPr="00102FCD">
              <w:t xml:space="preserve">Increased investor satisfaction and returns on investment </w:t>
            </w:r>
          </w:p>
        </w:tc>
      </w:tr>
    </w:tbl>
    <w:p w14:paraId="5E395CC2" w14:textId="77777777" w:rsidR="0024031A" w:rsidRDefault="0024031A" w:rsidP="00725308">
      <w:pPr>
        <w:pStyle w:val="Caption"/>
      </w:pPr>
      <w:r>
        <w:t>Source: SRA Strategic Plan (2018)</w:t>
      </w:r>
    </w:p>
    <w:p w14:paraId="59A869D9" w14:textId="77777777" w:rsidR="0024031A" w:rsidRDefault="0024031A" w:rsidP="0024031A">
      <w:pPr>
        <w:pStyle w:val="BodyCopy"/>
      </w:pPr>
    </w:p>
    <w:p w14:paraId="4A017BE3" w14:textId="77777777" w:rsidR="0024031A" w:rsidRDefault="0024031A" w:rsidP="00725308">
      <w:pPr>
        <w:pStyle w:val="Heading1"/>
      </w:pPr>
      <w:r>
        <w:lastRenderedPageBreak/>
        <w:t xml:space="preserve">Valuation of Impacts </w:t>
      </w:r>
    </w:p>
    <w:p w14:paraId="35FA8CA1" w14:textId="77777777" w:rsidR="0024031A" w:rsidRDefault="0024031A" w:rsidP="00725308">
      <w:pPr>
        <w:pStyle w:val="Heading2"/>
      </w:pPr>
      <w:r>
        <w:t>Impacts Valued</w:t>
      </w:r>
    </w:p>
    <w:p w14:paraId="44985C1A" w14:textId="0B0FEEAE" w:rsidR="0024031A" w:rsidRDefault="0024031A" w:rsidP="0024031A">
      <w:pPr>
        <w:pStyle w:val="BodyCopy"/>
      </w:pPr>
      <w:r>
        <w:t>Of the four types of impacts identified in Table A2, only part of the first impact has been valued in this assessment, namely the project’s contribution to higher profits for some sugarcane growers from improved N fertiliser management (reduced N use with maintained productivity).</w:t>
      </w:r>
    </w:p>
    <w:p w14:paraId="24121C4D" w14:textId="77777777" w:rsidR="0024031A" w:rsidRDefault="0024031A" w:rsidP="00725308">
      <w:pPr>
        <w:pStyle w:val="Heading2"/>
      </w:pPr>
      <w:r>
        <w:t>Other Potential Impacts Identified but not Valued</w:t>
      </w:r>
    </w:p>
    <w:p w14:paraId="2381B40F" w14:textId="7D444646" w:rsidR="0024031A" w:rsidRDefault="0024031A" w:rsidP="0024031A">
      <w:pPr>
        <w:pStyle w:val="BodyCopy"/>
      </w:pPr>
      <w:r>
        <w:t>The other four impacts of the five identified in Table A2 were not valued for the following reasons:</w:t>
      </w:r>
    </w:p>
    <w:p w14:paraId="41E57379" w14:textId="2F1791B1" w:rsidR="0024031A" w:rsidRDefault="0024031A" w:rsidP="00160F73">
      <w:pPr>
        <w:pStyle w:val="NumberedList"/>
        <w:numPr>
          <w:ilvl w:val="0"/>
          <w:numId w:val="44"/>
        </w:numPr>
        <w:spacing w:before="0"/>
        <w:ind w:left="284" w:hanging="284"/>
      </w:pPr>
      <w:r>
        <w:t>The future potential for increased sugarcane yields from increased or more targeted N applications on some farms was not valued due to uncertainty about:</w:t>
      </w:r>
    </w:p>
    <w:p w14:paraId="1A8BC280" w14:textId="5C315226" w:rsidR="0024031A" w:rsidRDefault="0024031A" w:rsidP="00725308">
      <w:pPr>
        <w:pStyle w:val="Bullets"/>
        <w:ind w:left="567"/>
      </w:pPr>
      <w:r>
        <w:t xml:space="preserve">The extent of the area to which such practices potentially may apply, </w:t>
      </w:r>
    </w:p>
    <w:p w14:paraId="7EB15E4C" w14:textId="2F03475E" w:rsidR="0024031A" w:rsidRDefault="0024031A" w:rsidP="00725308">
      <w:pPr>
        <w:pStyle w:val="Bullets"/>
        <w:ind w:left="567"/>
      </w:pPr>
      <w:r>
        <w:t xml:space="preserve">The level of adoption of such practices given government and community pressure to reduce N use, </w:t>
      </w:r>
    </w:p>
    <w:p w14:paraId="757B737B" w14:textId="41C3C9F6" w:rsidR="0024031A" w:rsidRDefault="0024031A" w:rsidP="00725308">
      <w:pPr>
        <w:pStyle w:val="Bullets"/>
        <w:ind w:left="567"/>
      </w:pPr>
      <w:r>
        <w:t xml:space="preserve">The proportion of the potentially applicable growers/farm area that may achieve measurable yield improvements, </w:t>
      </w:r>
    </w:p>
    <w:p w14:paraId="1C0A28DA" w14:textId="024F5039" w:rsidR="0024031A" w:rsidRDefault="0024031A" w:rsidP="00725308">
      <w:pPr>
        <w:pStyle w:val="Bullets"/>
        <w:ind w:left="567"/>
      </w:pPr>
      <w:r>
        <w:t xml:space="preserve">The net value of the yield response that may be obtained, and </w:t>
      </w:r>
    </w:p>
    <w:p w14:paraId="13255A01" w14:textId="2357F214" w:rsidR="0024031A" w:rsidRDefault="0024031A" w:rsidP="00725308">
      <w:pPr>
        <w:pStyle w:val="Bullets"/>
        <w:ind w:left="567"/>
      </w:pPr>
      <w:r>
        <w:t>The level of attribution of any such practice changes to the investment in project 2015/065.</w:t>
      </w:r>
    </w:p>
    <w:p w14:paraId="18329006" w14:textId="401865DE" w:rsidR="0024031A" w:rsidRDefault="0024031A" w:rsidP="00725308">
      <w:pPr>
        <w:pStyle w:val="NumberedList"/>
        <w:ind w:left="284" w:hanging="284"/>
      </w:pPr>
      <w:r>
        <w:t>The future potential for increased sugarcane productivity and/or profitability from improved NUE driven by improved understanding of soil constraints was not valued for similar reasons as for item 1 above. However, where application of such knowledge (attributable to project 2015/065) resulted in future reductions in N use, this is partially captured by the existing impact valuation.</w:t>
      </w:r>
    </w:p>
    <w:p w14:paraId="37D56372" w14:textId="71EC5B53" w:rsidR="0024031A" w:rsidRDefault="0024031A" w:rsidP="00725308">
      <w:pPr>
        <w:pStyle w:val="NumberedList"/>
        <w:ind w:left="284" w:hanging="284"/>
      </w:pPr>
      <w:r>
        <w:t>The potential reduction in export of fertiliser N to off-farm waterways/environments, including the GBR lagoon, was not valued due to the difficulty of quantifying the reduction and uncertainty about the value of such reductions for improving GBR health.</w:t>
      </w:r>
    </w:p>
    <w:p w14:paraId="22C4AC4A" w14:textId="61CF1C49" w:rsidR="0024031A" w:rsidRDefault="0024031A" w:rsidP="00725308">
      <w:pPr>
        <w:pStyle w:val="NumberedList"/>
        <w:ind w:left="284" w:hanging="284"/>
      </w:pPr>
      <w:proofErr w:type="spellStart"/>
      <w:r>
        <w:t>Spillover</w:t>
      </w:r>
      <w:proofErr w:type="spellEnd"/>
      <w:r>
        <w:t xml:space="preserve"> impacts to regional communities from increased sugarcane industry net incomes was not valued due to the range and diversity of geographic locations involved. </w:t>
      </w:r>
    </w:p>
    <w:p w14:paraId="50B72B59" w14:textId="0408798D" w:rsidR="0024031A" w:rsidRDefault="0024031A" w:rsidP="0024031A">
      <w:pPr>
        <w:pStyle w:val="NumberedList"/>
      </w:pPr>
      <w:r>
        <w:t>Maintenance of some Australian sugarcane producer’s social licence to operate through improved N management was not valued because of the difficulty of identifying clear linkages between the likely project outcomes and community views and/or government policy.</w:t>
      </w:r>
    </w:p>
    <w:p w14:paraId="1E06D9F7" w14:textId="77777777" w:rsidR="0024031A" w:rsidRDefault="0024031A" w:rsidP="00725308">
      <w:pPr>
        <w:pStyle w:val="Heading1"/>
      </w:pPr>
      <w:r>
        <w:t>Attribution</w:t>
      </w:r>
    </w:p>
    <w:p w14:paraId="659042AD" w14:textId="542BDB15" w:rsidR="0024031A" w:rsidRDefault="0024031A" w:rsidP="0024031A">
      <w:pPr>
        <w:pStyle w:val="BodyCopy"/>
      </w:pPr>
      <w:r>
        <w:t>The counterfactual assumed is that the industry changes that are anticipated would not have taken place without the funding of this project</w:t>
      </w:r>
      <w:r w:rsidR="00725308">
        <w:t xml:space="preserve">. </w:t>
      </w:r>
    </w:p>
    <w:p w14:paraId="6A5AC4A8" w14:textId="77777777" w:rsidR="0024031A" w:rsidRDefault="0024031A" w:rsidP="00725308">
      <w:pPr>
        <w:pStyle w:val="Heading2"/>
      </w:pPr>
      <w:r>
        <w:t xml:space="preserve">Summary of Assumptions for Impact Valuation </w:t>
      </w:r>
    </w:p>
    <w:p w14:paraId="453F04F1" w14:textId="2B7C080D" w:rsidR="0024031A" w:rsidRDefault="0024031A" w:rsidP="0024031A">
      <w:pPr>
        <w:pStyle w:val="BodyCopy"/>
      </w:pPr>
      <w:r>
        <w:t>A summary of the key assumptions made is shown in Table A5.</w:t>
      </w:r>
    </w:p>
    <w:p w14:paraId="1DAD71FC" w14:textId="77777777" w:rsidR="0024031A" w:rsidRDefault="0024031A" w:rsidP="00725308">
      <w:pPr>
        <w:pStyle w:val="TableHeading"/>
      </w:pPr>
      <w:r>
        <w:t>Table A5: Summary of Assumptions for Valuing investment in Project 2015/065</w:t>
      </w:r>
    </w:p>
    <w:tbl>
      <w:tblPr>
        <w:tblStyle w:val="SRATable"/>
        <w:tblW w:w="9067" w:type="dxa"/>
        <w:tblLayout w:type="fixed"/>
        <w:tblLook w:val="0000" w:firstRow="0" w:lastRow="0" w:firstColumn="0" w:lastColumn="0" w:noHBand="0" w:noVBand="0"/>
      </w:tblPr>
      <w:tblGrid>
        <w:gridCol w:w="3823"/>
        <w:gridCol w:w="1417"/>
        <w:gridCol w:w="3827"/>
      </w:tblGrid>
      <w:tr w:rsidR="00160F73" w:rsidRPr="00AA0BEF" w14:paraId="05285608" w14:textId="77777777" w:rsidTr="009E7CC2">
        <w:tc>
          <w:tcPr>
            <w:tcW w:w="3823" w:type="dxa"/>
            <w:shd w:val="clear" w:color="auto" w:fill="CBDCE0"/>
          </w:tcPr>
          <w:p w14:paraId="37045A6E" w14:textId="77777777" w:rsidR="00725308" w:rsidRPr="005A4CD4" w:rsidRDefault="00725308" w:rsidP="00725308">
            <w:pPr>
              <w:pStyle w:val="TableDataHeading"/>
            </w:pPr>
            <w:r w:rsidRPr="005A4CD4">
              <w:t>Variable</w:t>
            </w:r>
          </w:p>
        </w:tc>
        <w:tc>
          <w:tcPr>
            <w:tcW w:w="1417" w:type="dxa"/>
            <w:shd w:val="clear" w:color="auto" w:fill="CBDCE0"/>
          </w:tcPr>
          <w:p w14:paraId="3D0E0D61" w14:textId="77777777" w:rsidR="00725308" w:rsidRPr="005A4CD4" w:rsidRDefault="00725308" w:rsidP="00725308">
            <w:pPr>
              <w:pStyle w:val="TableDataHeading"/>
            </w:pPr>
            <w:r w:rsidRPr="005A4CD4">
              <w:t>Assumption</w:t>
            </w:r>
          </w:p>
        </w:tc>
        <w:tc>
          <w:tcPr>
            <w:tcW w:w="3827" w:type="dxa"/>
            <w:shd w:val="clear" w:color="auto" w:fill="CBDCE0"/>
          </w:tcPr>
          <w:p w14:paraId="5F240D8A" w14:textId="77777777" w:rsidR="00725308" w:rsidRPr="005A4CD4" w:rsidRDefault="00725308" w:rsidP="00725308">
            <w:pPr>
              <w:pStyle w:val="TableDataHeading"/>
            </w:pPr>
            <w:r w:rsidRPr="005A4CD4">
              <w:t>Source</w:t>
            </w:r>
          </w:p>
        </w:tc>
      </w:tr>
      <w:tr w:rsidR="00725308" w:rsidRPr="00AA0BEF" w14:paraId="7C78A0A7" w14:textId="77777777" w:rsidTr="00160F73">
        <w:tc>
          <w:tcPr>
            <w:tcW w:w="9067" w:type="dxa"/>
            <w:gridSpan w:val="3"/>
          </w:tcPr>
          <w:p w14:paraId="77791DC9" w14:textId="77777777" w:rsidR="00725308" w:rsidRPr="005A4CD4" w:rsidRDefault="00725308" w:rsidP="00725308">
            <w:pPr>
              <w:pStyle w:val="TableDataHeading"/>
            </w:pPr>
            <w:r w:rsidRPr="005A4CD4">
              <w:t>General</w:t>
            </w:r>
          </w:p>
        </w:tc>
      </w:tr>
      <w:tr w:rsidR="00725308" w:rsidRPr="00AA0BEF" w14:paraId="1D8EA643" w14:textId="77777777" w:rsidTr="00160F73">
        <w:tc>
          <w:tcPr>
            <w:tcW w:w="3823" w:type="dxa"/>
          </w:tcPr>
          <w:p w14:paraId="3AB81197" w14:textId="77777777" w:rsidR="00725308" w:rsidRPr="005A4CD4" w:rsidRDefault="00725308" w:rsidP="00725308">
            <w:pPr>
              <w:pStyle w:val="Tabledata"/>
              <w:rPr>
                <w:b/>
              </w:rPr>
            </w:pPr>
            <w:r>
              <w:t>Estimated applicable sugarcane area (Central and Wet Tropics regions)</w:t>
            </w:r>
          </w:p>
        </w:tc>
        <w:tc>
          <w:tcPr>
            <w:tcW w:w="1417" w:type="dxa"/>
          </w:tcPr>
          <w:p w14:paraId="4287AF7D" w14:textId="77777777" w:rsidR="00725308" w:rsidRPr="005A4CD4" w:rsidRDefault="00725308" w:rsidP="00725308">
            <w:pPr>
              <w:pStyle w:val="Tabledata"/>
              <w:rPr>
                <w:b/>
              </w:rPr>
            </w:pPr>
            <w:r>
              <w:t>243,137 ha</w:t>
            </w:r>
          </w:p>
        </w:tc>
        <w:tc>
          <w:tcPr>
            <w:tcW w:w="3827" w:type="dxa"/>
          </w:tcPr>
          <w:p w14:paraId="6A641BE2" w14:textId="77777777" w:rsidR="00725308" w:rsidRPr="005A4CD4" w:rsidRDefault="00725308" w:rsidP="00725308">
            <w:pPr>
              <w:pStyle w:val="Tabledata"/>
              <w:rPr>
                <w:b/>
              </w:rPr>
            </w:pPr>
            <w:r w:rsidRPr="005A4CD4">
              <w:t xml:space="preserve">Average of past two years (2017/18 and 2018/19) </w:t>
            </w:r>
            <w:r w:rsidRPr="00284E40">
              <w:rPr>
                <w:noProof/>
              </w:rPr>
              <w:t>(Canegrowers</w:t>
            </w:r>
            <w:r>
              <w:rPr>
                <w:noProof/>
              </w:rPr>
              <w:t xml:space="preserve"> 2019/20 Annual Report</w:t>
            </w:r>
            <w:r w:rsidRPr="00284E40">
              <w:rPr>
                <w:noProof/>
              </w:rPr>
              <w:t>)</w:t>
            </w:r>
          </w:p>
        </w:tc>
      </w:tr>
      <w:tr w:rsidR="00725308" w:rsidRPr="00AA0BEF" w14:paraId="36245365" w14:textId="77777777" w:rsidTr="00160F73">
        <w:tc>
          <w:tcPr>
            <w:tcW w:w="9067" w:type="dxa"/>
            <w:gridSpan w:val="3"/>
          </w:tcPr>
          <w:p w14:paraId="048D272B" w14:textId="77777777" w:rsidR="00725308" w:rsidRPr="005A4CD4" w:rsidRDefault="00725308" w:rsidP="00725308">
            <w:pPr>
              <w:pStyle w:val="TableDataHeading"/>
            </w:pPr>
            <w:r w:rsidRPr="005A4CD4">
              <w:t xml:space="preserve">Benefit 1: Estimates of N cost savings made by use of the SES Decision Support Tools  </w:t>
            </w:r>
          </w:p>
        </w:tc>
      </w:tr>
      <w:tr w:rsidR="00725308" w:rsidRPr="00AA0BEF" w14:paraId="7B78C657" w14:textId="77777777" w:rsidTr="00160F73">
        <w:tc>
          <w:tcPr>
            <w:tcW w:w="3823" w:type="dxa"/>
          </w:tcPr>
          <w:p w14:paraId="2AA01B11" w14:textId="77777777" w:rsidR="00725308" w:rsidRPr="005A4CD4" w:rsidRDefault="00725308" w:rsidP="00725308">
            <w:pPr>
              <w:pStyle w:val="Tabledata"/>
            </w:pPr>
            <w:r>
              <w:t xml:space="preserve">Current average annual N usage </w:t>
            </w:r>
          </w:p>
        </w:tc>
        <w:tc>
          <w:tcPr>
            <w:tcW w:w="1417" w:type="dxa"/>
          </w:tcPr>
          <w:p w14:paraId="5B3B18B1" w14:textId="77777777" w:rsidR="00725308" w:rsidRPr="005A4CD4" w:rsidRDefault="00725308" w:rsidP="00725308">
            <w:pPr>
              <w:pStyle w:val="Tabledata"/>
            </w:pPr>
            <w:r>
              <w:t>160 kg/ha</w:t>
            </w:r>
          </w:p>
        </w:tc>
        <w:tc>
          <w:tcPr>
            <w:tcW w:w="3827" w:type="dxa"/>
          </w:tcPr>
          <w:p w14:paraId="052F1D04" w14:textId="77777777" w:rsidR="00725308" w:rsidRPr="006A3897" w:rsidRDefault="00725308" w:rsidP="00725308">
            <w:pPr>
              <w:pStyle w:val="Tabledata"/>
            </w:pPr>
            <w:r w:rsidRPr="006A3897">
              <w:t>Analyst estimate</w:t>
            </w:r>
          </w:p>
        </w:tc>
      </w:tr>
      <w:tr w:rsidR="00725308" w:rsidRPr="00AA0BEF" w14:paraId="0AAB8F09" w14:textId="77777777" w:rsidTr="00160F73">
        <w:tc>
          <w:tcPr>
            <w:tcW w:w="3823" w:type="dxa"/>
          </w:tcPr>
          <w:p w14:paraId="635DF808" w14:textId="77777777" w:rsidR="00725308" w:rsidRDefault="00725308" w:rsidP="00725308">
            <w:pPr>
              <w:pStyle w:val="Tabledata"/>
            </w:pPr>
            <w:r>
              <w:lastRenderedPageBreak/>
              <w:t>Area within the Central and Wet Tropics regions where N fertiliser use/management has, or is likely to, change to improve NUE (reduce N use) because of investment in project 2015/065</w:t>
            </w:r>
          </w:p>
        </w:tc>
        <w:tc>
          <w:tcPr>
            <w:tcW w:w="1417" w:type="dxa"/>
          </w:tcPr>
          <w:p w14:paraId="270131A3" w14:textId="77777777" w:rsidR="00725308" w:rsidRDefault="00725308" w:rsidP="00725308">
            <w:pPr>
              <w:pStyle w:val="Tabledata"/>
            </w:pPr>
            <w:r>
              <w:t>10%</w:t>
            </w:r>
          </w:p>
        </w:tc>
        <w:tc>
          <w:tcPr>
            <w:tcW w:w="3827" w:type="dxa"/>
          </w:tcPr>
          <w:p w14:paraId="73D9EED0" w14:textId="77777777" w:rsidR="00725308" w:rsidRPr="006A3897" w:rsidRDefault="00725308" w:rsidP="00725308">
            <w:pPr>
              <w:pStyle w:val="Tabledata"/>
            </w:pPr>
            <w:r w:rsidRPr="006A3897">
              <w:t>Analyst estimate</w:t>
            </w:r>
          </w:p>
        </w:tc>
      </w:tr>
      <w:tr w:rsidR="00725308" w:rsidRPr="00AA0BEF" w14:paraId="694339AA" w14:textId="77777777" w:rsidTr="00160F73">
        <w:tc>
          <w:tcPr>
            <w:tcW w:w="3823" w:type="dxa"/>
          </w:tcPr>
          <w:p w14:paraId="729B0E47" w14:textId="77777777" w:rsidR="00725308" w:rsidRPr="005A4CD4" w:rsidRDefault="00725308" w:rsidP="00725308">
            <w:pPr>
              <w:pStyle w:val="Tabledata"/>
            </w:pPr>
            <w:r>
              <w:t xml:space="preserve">Potential </w:t>
            </w:r>
            <w:r w:rsidRPr="005A4CD4">
              <w:t xml:space="preserve">N savings made </w:t>
            </w:r>
            <w:r>
              <w:t>for applicable sites</w:t>
            </w:r>
            <w:r w:rsidRPr="005A4CD4">
              <w:t xml:space="preserve"> </w:t>
            </w:r>
          </w:p>
        </w:tc>
        <w:tc>
          <w:tcPr>
            <w:tcW w:w="1417" w:type="dxa"/>
          </w:tcPr>
          <w:p w14:paraId="417FBAF8" w14:textId="77777777" w:rsidR="00725308" w:rsidRPr="005A4CD4" w:rsidRDefault="00725308" w:rsidP="00725308">
            <w:pPr>
              <w:pStyle w:val="Tabledata"/>
            </w:pPr>
            <w:r>
              <w:t>20%</w:t>
            </w:r>
          </w:p>
        </w:tc>
        <w:tc>
          <w:tcPr>
            <w:tcW w:w="3827" w:type="dxa"/>
          </w:tcPr>
          <w:p w14:paraId="5C349BA0" w14:textId="77777777" w:rsidR="00725308" w:rsidRPr="005A4CD4" w:rsidRDefault="00725308" w:rsidP="00725308">
            <w:pPr>
              <w:pStyle w:val="Tabledata"/>
            </w:pPr>
            <w:r>
              <w:t>Analyst estimate; based on similar assumptions for waterlogged or sodic sites in the evaluation of SRA project 2018/013</w:t>
            </w:r>
          </w:p>
        </w:tc>
      </w:tr>
      <w:tr w:rsidR="00725308" w:rsidRPr="00AA0BEF" w14:paraId="6DF4243A" w14:textId="77777777" w:rsidTr="00160F73">
        <w:tc>
          <w:tcPr>
            <w:tcW w:w="3823" w:type="dxa"/>
          </w:tcPr>
          <w:p w14:paraId="53082837" w14:textId="77777777" w:rsidR="00725308" w:rsidRPr="005A4CD4" w:rsidRDefault="00725308" w:rsidP="00725308">
            <w:pPr>
              <w:pStyle w:val="Tabledata"/>
            </w:pPr>
            <w:r>
              <w:t>Farm gate value of elemental N</w:t>
            </w:r>
          </w:p>
        </w:tc>
        <w:tc>
          <w:tcPr>
            <w:tcW w:w="1417" w:type="dxa"/>
          </w:tcPr>
          <w:p w14:paraId="7AFBB0AD" w14:textId="77777777" w:rsidR="00725308" w:rsidRPr="005A4CD4" w:rsidRDefault="00725308" w:rsidP="00725308">
            <w:pPr>
              <w:pStyle w:val="Tabledata"/>
            </w:pPr>
            <w:r>
              <w:t xml:space="preserve">$1.23 per kg </w:t>
            </w:r>
          </w:p>
        </w:tc>
        <w:tc>
          <w:tcPr>
            <w:tcW w:w="3827" w:type="dxa"/>
          </w:tcPr>
          <w:p w14:paraId="24B5CFDD" w14:textId="77777777" w:rsidR="00725308" w:rsidRPr="005A4CD4" w:rsidRDefault="00725308" w:rsidP="00725308">
            <w:pPr>
              <w:pStyle w:val="Tabledata"/>
            </w:pPr>
            <w:r>
              <w:t>Based on urea price of $565 per tonne @46% N</w:t>
            </w:r>
          </w:p>
        </w:tc>
      </w:tr>
      <w:tr w:rsidR="00725308" w:rsidRPr="00AA0BEF" w14:paraId="10C4D1A9" w14:textId="77777777" w:rsidTr="00160F73">
        <w:tc>
          <w:tcPr>
            <w:tcW w:w="3823" w:type="dxa"/>
          </w:tcPr>
          <w:p w14:paraId="4A1EC832" w14:textId="77777777" w:rsidR="00725308" w:rsidRPr="005A4CD4" w:rsidRDefault="00725308" w:rsidP="00725308">
            <w:pPr>
              <w:pStyle w:val="Tabledata"/>
            </w:pPr>
            <w:r w:rsidRPr="005A4CD4">
              <w:t xml:space="preserve">Year of first adoption due to project </w:t>
            </w:r>
          </w:p>
        </w:tc>
        <w:tc>
          <w:tcPr>
            <w:tcW w:w="1417" w:type="dxa"/>
          </w:tcPr>
          <w:p w14:paraId="19F2FB36" w14:textId="77777777" w:rsidR="00725308" w:rsidRPr="005A4CD4" w:rsidRDefault="00725308" w:rsidP="00725308">
            <w:pPr>
              <w:pStyle w:val="Tabledata"/>
            </w:pPr>
            <w:r w:rsidRPr="005A4CD4">
              <w:t>20</w:t>
            </w:r>
            <w:r>
              <w:t>21</w:t>
            </w:r>
          </w:p>
        </w:tc>
        <w:tc>
          <w:tcPr>
            <w:tcW w:w="3827" w:type="dxa"/>
            <w:vMerge w:val="restart"/>
          </w:tcPr>
          <w:p w14:paraId="199C0051" w14:textId="77777777" w:rsidR="00725308" w:rsidRPr="00AA0BEF" w:rsidRDefault="00725308" w:rsidP="00725308">
            <w:pPr>
              <w:pStyle w:val="Tabledata"/>
              <w:rPr>
                <w:color w:val="0070C0"/>
              </w:rPr>
            </w:pPr>
            <w:r w:rsidRPr="005A4CD4">
              <w:t xml:space="preserve">Analyst </w:t>
            </w:r>
            <w:r>
              <w:t>estimate: allows for diminishing impact specifically attributable to investment in project 2015/065 as growers make changes because of new research outputs and/or dis-adoption occurs</w:t>
            </w:r>
          </w:p>
        </w:tc>
      </w:tr>
      <w:tr w:rsidR="00725308" w:rsidRPr="00AA0BEF" w14:paraId="2BE3CE76" w14:textId="77777777" w:rsidTr="00160F73">
        <w:trPr>
          <w:trHeight w:val="58"/>
        </w:trPr>
        <w:tc>
          <w:tcPr>
            <w:tcW w:w="3823" w:type="dxa"/>
          </w:tcPr>
          <w:p w14:paraId="69ABF6A4" w14:textId="77777777" w:rsidR="00725308" w:rsidRPr="005A4CD4" w:rsidRDefault="00725308" w:rsidP="00725308">
            <w:pPr>
              <w:pStyle w:val="Tabledata"/>
            </w:pPr>
            <w:r>
              <w:t>Year of maximum adoption</w:t>
            </w:r>
          </w:p>
        </w:tc>
        <w:tc>
          <w:tcPr>
            <w:tcW w:w="1417" w:type="dxa"/>
          </w:tcPr>
          <w:p w14:paraId="0521DEE7" w14:textId="77777777" w:rsidR="00725308" w:rsidRPr="005A4CD4" w:rsidRDefault="00725308" w:rsidP="00725308">
            <w:pPr>
              <w:pStyle w:val="Tabledata"/>
            </w:pPr>
            <w:r w:rsidRPr="005A4CD4">
              <w:t>20</w:t>
            </w:r>
            <w:r>
              <w:t>25</w:t>
            </w:r>
          </w:p>
        </w:tc>
        <w:tc>
          <w:tcPr>
            <w:tcW w:w="3827" w:type="dxa"/>
            <w:vMerge/>
          </w:tcPr>
          <w:p w14:paraId="7F70F7EA" w14:textId="77777777" w:rsidR="00725308" w:rsidRPr="00AA0BEF" w:rsidRDefault="00725308" w:rsidP="00D97EF2">
            <w:pPr>
              <w:suppressAutoHyphens/>
              <w:rPr>
                <w:rFonts w:cs="Arial"/>
                <w:color w:val="0070C0"/>
              </w:rPr>
            </w:pPr>
          </w:p>
        </w:tc>
      </w:tr>
      <w:tr w:rsidR="00725308" w:rsidRPr="00AA0BEF" w14:paraId="185D4E0F" w14:textId="77777777" w:rsidTr="00160F73">
        <w:trPr>
          <w:trHeight w:val="58"/>
        </w:trPr>
        <w:tc>
          <w:tcPr>
            <w:tcW w:w="3823" w:type="dxa"/>
          </w:tcPr>
          <w:p w14:paraId="5D74417C" w14:textId="77777777" w:rsidR="00725308" w:rsidRDefault="00725308" w:rsidP="00725308">
            <w:pPr>
              <w:pStyle w:val="Tabledata"/>
            </w:pPr>
            <w:r>
              <w:t>Last year of impact</w:t>
            </w:r>
          </w:p>
        </w:tc>
        <w:tc>
          <w:tcPr>
            <w:tcW w:w="1417" w:type="dxa"/>
          </w:tcPr>
          <w:p w14:paraId="500109DD" w14:textId="77777777" w:rsidR="00725308" w:rsidRPr="005A4CD4" w:rsidRDefault="00725308" w:rsidP="00725308">
            <w:pPr>
              <w:pStyle w:val="Tabledata"/>
            </w:pPr>
            <w:r>
              <w:t>2030</w:t>
            </w:r>
          </w:p>
        </w:tc>
        <w:tc>
          <w:tcPr>
            <w:tcW w:w="3827" w:type="dxa"/>
            <w:vMerge/>
          </w:tcPr>
          <w:p w14:paraId="52E438A1" w14:textId="77777777" w:rsidR="00725308" w:rsidRPr="00AA0BEF" w:rsidRDefault="00725308" w:rsidP="00D97EF2">
            <w:pPr>
              <w:suppressAutoHyphens/>
              <w:rPr>
                <w:rFonts w:cs="Arial"/>
                <w:color w:val="0070C0"/>
              </w:rPr>
            </w:pPr>
          </w:p>
        </w:tc>
      </w:tr>
      <w:tr w:rsidR="00725308" w:rsidRPr="00AA0BEF" w14:paraId="5FE0A10F" w14:textId="77777777" w:rsidTr="00160F73">
        <w:tc>
          <w:tcPr>
            <w:tcW w:w="9067" w:type="dxa"/>
            <w:gridSpan w:val="3"/>
          </w:tcPr>
          <w:p w14:paraId="4E88598F" w14:textId="77777777" w:rsidR="00725308" w:rsidRPr="00AA0BEF" w:rsidRDefault="00725308" w:rsidP="00725308">
            <w:pPr>
              <w:pStyle w:val="TableDataHeading"/>
              <w:rPr>
                <w:color w:val="0070C0"/>
              </w:rPr>
            </w:pPr>
            <w:r w:rsidRPr="00E4176A">
              <w:t xml:space="preserve">Risk factors </w:t>
            </w:r>
          </w:p>
        </w:tc>
      </w:tr>
      <w:tr w:rsidR="00725308" w:rsidRPr="00AA0BEF" w14:paraId="2DD989B9" w14:textId="77777777" w:rsidTr="00160F73">
        <w:tc>
          <w:tcPr>
            <w:tcW w:w="3823" w:type="dxa"/>
          </w:tcPr>
          <w:p w14:paraId="478F9BAF" w14:textId="77777777" w:rsidR="00725308" w:rsidRPr="00E4176A" w:rsidRDefault="00725308" w:rsidP="00725308">
            <w:pPr>
              <w:pStyle w:val="Tabledata"/>
            </w:pPr>
            <w:r w:rsidRPr="00E4176A">
              <w:t>Probability of Output</w:t>
            </w:r>
          </w:p>
        </w:tc>
        <w:tc>
          <w:tcPr>
            <w:tcW w:w="1417" w:type="dxa"/>
          </w:tcPr>
          <w:p w14:paraId="6B545D3E" w14:textId="77777777" w:rsidR="00725308" w:rsidRPr="00E4176A" w:rsidRDefault="00725308" w:rsidP="00725308">
            <w:pPr>
              <w:pStyle w:val="Tabledata"/>
            </w:pPr>
            <w:r w:rsidRPr="00E4176A">
              <w:t>100%</w:t>
            </w:r>
          </w:p>
        </w:tc>
        <w:tc>
          <w:tcPr>
            <w:tcW w:w="3827" w:type="dxa"/>
          </w:tcPr>
          <w:p w14:paraId="1E89F71B" w14:textId="77777777" w:rsidR="00725308" w:rsidRPr="00E4176A" w:rsidRDefault="00725308" w:rsidP="00725308">
            <w:pPr>
              <w:pStyle w:val="Tabledata"/>
            </w:pPr>
            <w:r>
              <w:t>Analyst estimate: based on project being successfully completed</w:t>
            </w:r>
          </w:p>
        </w:tc>
      </w:tr>
      <w:tr w:rsidR="00725308" w:rsidRPr="00AA0BEF" w14:paraId="2A21D14F" w14:textId="77777777" w:rsidTr="00160F73">
        <w:tc>
          <w:tcPr>
            <w:tcW w:w="3823" w:type="dxa"/>
          </w:tcPr>
          <w:p w14:paraId="0D85398E" w14:textId="77777777" w:rsidR="00725308" w:rsidRPr="00110CAC" w:rsidRDefault="00725308" w:rsidP="00725308">
            <w:pPr>
              <w:pStyle w:val="Tabledata"/>
            </w:pPr>
            <w:r w:rsidRPr="00110CAC">
              <w:t>Probability of Outcome (Usage)</w:t>
            </w:r>
          </w:p>
        </w:tc>
        <w:tc>
          <w:tcPr>
            <w:tcW w:w="1417" w:type="dxa"/>
          </w:tcPr>
          <w:p w14:paraId="4AFDAAAB" w14:textId="77777777" w:rsidR="00725308" w:rsidRPr="00110CAC" w:rsidRDefault="00725308" w:rsidP="00725308">
            <w:pPr>
              <w:pStyle w:val="Tabledata"/>
            </w:pPr>
            <w:r>
              <w:t>80%</w:t>
            </w:r>
          </w:p>
        </w:tc>
        <w:tc>
          <w:tcPr>
            <w:tcW w:w="3827" w:type="dxa"/>
          </w:tcPr>
          <w:p w14:paraId="008930CD" w14:textId="77777777" w:rsidR="00725308" w:rsidRPr="00110CAC" w:rsidRDefault="00725308" w:rsidP="00725308">
            <w:pPr>
              <w:pStyle w:val="Tabledata"/>
            </w:pPr>
            <w:r w:rsidRPr="00110CAC">
              <w:t xml:space="preserve">Analyst </w:t>
            </w:r>
            <w:r>
              <w:t xml:space="preserve">estimate, </w:t>
            </w:r>
            <w:r w:rsidRPr="00110CAC">
              <w:t xml:space="preserve">refers to </w:t>
            </w:r>
            <w:r>
              <w:t>the probability that the adoption rates above will eventuate</w:t>
            </w:r>
          </w:p>
        </w:tc>
      </w:tr>
      <w:tr w:rsidR="00725308" w:rsidRPr="00AA0BEF" w14:paraId="575CFCB5" w14:textId="77777777" w:rsidTr="00160F73">
        <w:tc>
          <w:tcPr>
            <w:tcW w:w="3823" w:type="dxa"/>
          </w:tcPr>
          <w:p w14:paraId="6E679D50" w14:textId="77777777" w:rsidR="00725308" w:rsidRPr="00110CAC" w:rsidRDefault="00725308" w:rsidP="00725308">
            <w:pPr>
              <w:pStyle w:val="Tabledata"/>
            </w:pPr>
            <w:r w:rsidRPr="00110CAC">
              <w:t>Probability of Impact (given usage)</w:t>
            </w:r>
          </w:p>
        </w:tc>
        <w:tc>
          <w:tcPr>
            <w:tcW w:w="1417" w:type="dxa"/>
          </w:tcPr>
          <w:p w14:paraId="180AF4B2" w14:textId="77777777" w:rsidR="00725308" w:rsidRPr="00110CAC" w:rsidRDefault="00725308" w:rsidP="00725308">
            <w:pPr>
              <w:pStyle w:val="Tabledata"/>
            </w:pPr>
            <w:r>
              <w:t>60</w:t>
            </w:r>
            <w:r w:rsidRPr="00110CAC">
              <w:t>%</w:t>
            </w:r>
          </w:p>
        </w:tc>
        <w:tc>
          <w:tcPr>
            <w:tcW w:w="3827" w:type="dxa"/>
          </w:tcPr>
          <w:p w14:paraId="775A1ED0" w14:textId="77777777" w:rsidR="00725308" w:rsidRPr="00110CAC" w:rsidRDefault="00725308" w:rsidP="00725308">
            <w:pPr>
              <w:pStyle w:val="Tabledata"/>
            </w:pPr>
            <w:r w:rsidRPr="00110CAC">
              <w:t xml:space="preserve">Analyst </w:t>
            </w:r>
            <w:r>
              <w:t xml:space="preserve">estimate: </w:t>
            </w:r>
            <w:r w:rsidRPr="00110CAC">
              <w:t xml:space="preserve">refers to </w:t>
            </w:r>
            <w:r>
              <w:t>the probability that the N</w:t>
            </w:r>
            <w:r w:rsidRPr="00110CAC">
              <w:t xml:space="preserve"> reduction </w:t>
            </w:r>
            <w:r>
              <w:t>(and associated savings) occur</w:t>
            </w:r>
          </w:p>
        </w:tc>
      </w:tr>
      <w:tr w:rsidR="00725308" w:rsidRPr="00AA0BEF" w14:paraId="2DFCB83B" w14:textId="77777777" w:rsidTr="00160F73">
        <w:tc>
          <w:tcPr>
            <w:tcW w:w="9067" w:type="dxa"/>
            <w:gridSpan w:val="3"/>
          </w:tcPr>
          <w:p w14:paraId="2557A25E" w14:textId="77777777" w:rsidR="00725308" w:rsidRPr="00110CAC" w:rsidRDefault="00725308" w:rsidP="00725308">
            <w:pPr>
              <w:pStyle w:val="TableDataHeading"/>
            </w:pPr>
            <w:r w:rsidRPr="00110CAC">
              <w:t>Attribution</w:t>
            </w:r>
          </w:p>
        </w:tc>
      </w:tr>
      <w:tr w:rsidR="00725308" w:rsidRPr="00AA0BEF" w14:paraId="34329ECC" w14:textId="77777777" w:rsidTr="00160F73">
        <w:tc>
          <w:tcPr>
            <w:tcW w:w="3823" w:type="dxa"/>
          </w:tcPr>
          <w:p w14:paraId="53347F3B" w14:textId="77777777" w:rsidR="00725308" w:rsidRPr="00110CAC" w:rsidRDefault="00725308" w:rsidP="00725308">
            <w:pPr>
              <w:pStyle w:val="Tabledata"/>
            </w:pPr>
            <w:r w:rsidRPr="00110CAC">
              <w:t xml:space="preserve">Attribution to SRA Project </w:t>
            </w:r>
            <w:r>
              <w:t>2015/065</w:t>
            </w:r>
          </w:p>
        </w:tc>
        <w:tc>
          <w:tcPr>
            <w:tcW w:w="1417" w:type="dxa"/>
          </w:tcPr>
          <w:p w14:paraId="2001E56F" w14:textId="77777777" w:rsidR="00725308" w:rsidRPr="00110CAC" w:rsidRDefault="00725308" w:rsidP="00725308">
            <w:pPr>
              <w:pStyle w:val="Tabledata"/>
            </w:pPr>
            <w:r>
              <w:t>100%</w:t>
            </w:r>
          </w:p>
        </w:tc>
        <w:tc>
          <w:tcPr>
            <w:tcW w:w="3827" w:type="dxa"/>
          </w:tcPr>
          <w:p w14:paraId="03CB957D" w14:textId="77777777" w:rsidR="00725308" w:rsidRPr="00110CAC" w:rsidRDefault="00725308" w:rsidP="00725308">
            <w:pPr>
              <w:pStyle w:val="Tabledata"/>
            </w:pPr>
            <w:r w:rsidRPr="00110CAC">
              <w:t xml:space="preserve">Analyst </w:t>
            </w:r>
            <w:proofErr w:type="gramStart"/>
            <w:r w:rsidRPr="00110CAC">
              <w:t>assumption</w:t>
            </w:r>
            <w:r>
              <w:t>;</w:t>
            </w:r>
            <w:proofErr w:type="gramEnd"/>
            <w:r>
              <w:t xml:space="preserve"> it is worth noting that this impact does NOT include potential benefits of additional adoption that results in N savings or other NUE drivers that may occur if/when the outputs of project 2015/065 are incorporated into the 6ES Toolbox. Future impacts from increased adoption of practice change from use of the revised Toolbox would then be partially attributable to the current investment.</w:t>
            </w:r>
          </w:p>
        </w:tc>
      </w:tr>
    </w:tbl>
    <w:p w14:paraId="21FAA19F" w14:textId="77777777" w:rsidR="0024031A" w:rsidRDefault="0024031A" w:rsidP="0024031A">
      <w:pPr>
        <w:pStyle w:val="BodyCopy"/>
      </w:pPr>
    </w:p>
    <w:p w14:paraId="7289BC69" w14:textId="0092FFFD" w:rsidR="0024031A" w:rsidRDefault="0024031A" w:rsidP="0024031A">
      <w:pPr>
        <w:pStyle w:val="BodyCopy"/>
      </w:pPr>
      <w:r>
        <w:t>In developing the simplified framework above, is recognised that the use of an estimate of the value of N saved is an incomplete measure of gain as it does not include the full impact of change. However, examination of a case study of N strategies for sodic soils in the Burdekin, showed that the savings in N fertiliser by using 6ES may provide a conservative estimate of the net gain by using 6ES (see Table A6 below)</w:t>
      </w:r>
      <w:r w:rsidR="00725308">
        <w:t xml:space="preserve">. </w:t>
      </w:r>
    </w:p>
    <w:p w14:paraId="1A68CFD3" w14:textId="77777777" w:rsidR="0024031A" w:rsidRDefault="0024031A" w:rsidP="00725308">
      <w:pPr>
        <w:pStyle w:val="TableHeading"/>
      </w:pPr>
      <w:r>
        <w:t>Table A6: RP20 Trial Results for Sodic Soils in the Burdekin</w:t>
      </w:r>
    </w:p>
    <w:tbl>
      <w:tblPr>
        <w:tblStyle w:val="SRATable"/>
        <w:tblW w:w="9067" w:type="dxa"/>
        <w:tblLayout w:type="fixed"/>
        <w:tblLook w:val="04A0" w:firstRow="1" w:lastRow="0" w:firstColumn="1" w:lastColumn="0" w:noHBand="0" w:noVBand="1"/>
      </w:tblPr>
      <w:tblGrid>
        <w:gridCol w:w="2547"/>
        <w:gridCol w:w="2410"/>
        <w:gridCol w:w="1701"/>
        <w:gridCol w:w="2409"/>
      </w:tblGrid>
      <w:tr w:rsidR="00160F73" w:rsidRPr="000F157E" w14:paraId="080E618A" w14:textId="77777777" w:rsidTr="00160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63F71B" w14:textId="77777777" w:rsidR="00160F73" w:rsidRPr="000F157E" w:rsidRDefault="00160F73" w:rsidP="00160F73">
            <w:pPr>
              <w:pStyle w:val="TableDataHeading"/>
              <w:rPr>
                <w:b/>
              </w:rPr>
            </w:pPr>
            <w:r w:rsidRPr="000F157E">
              <w:rPr>
                <w:b/>
              </w:rPr>
              <w:t>Method</w:t>
            </w:r>
          </w:p>
        </w:tc>
        <w:tc>
          <w:tcPr>
            <w:tcW w:w="2410" w:type="dxa"/>
          </w:tcPr>
          <w:p w14:paraId="410B9BB4" w14:textId="77777777" w:rsidR="00160F73" w:rsidRPr="000F157E" w:rsidRDefault="00160F73" w:rsidP="00160F73">
            <w:pPr>
              <w:pStyle w:val="TableDataHeading"/>
              <w:cnfStyle w:val="100000000000" w:firstRow="1" w:lastRow="0" w:firstColumn="0" w:lastColumn="0" w:oddVBand="0" w:evenVBand="0" w:oddHBand="0" w:evenHBand="0" w:firstRowFirstColumn="0" w:firstRowLastColumn="0" w:lastRowFirstColumn="0" w:lastRowLastColumn="0"/>
              <w:rPr>
                <w:b/>
              </w:rPr>
            </w:pPr>
            <w:r w:rsidRPr="000F157E">
              <w:rPr>
                <w:b/>
              </w:rPr>
              <w:t>Crop</w:t>
            </w:r>
          </w:p>
        </w:tc>
        <w:tc>
          <w:tcPr>
            <w:tcW w:w="1701" w:type="dxa"/>
          </w:tcPr>
          <w:p w14:paraId="75611A82" w14:textId="77777777" w:rsidR="00160F73" w:rsidRPr="000F157E" w:rsidRDefault="00160F73" w:rsidP="00160F73">
            <w:pPr>
              <w:pStyle w:val="TableDataHeading"/>
              <w:cnfStyle w:val="100000000000" w:firstRow="1" w:lastRow="0" w:firstColumn="0" w:lastColumn="0" w:oddVBand="0" w:evenVBand="0" w:oddHBand="0" w:evenHBand="0" w:firstRowFirstColumn="0" w:firstRowLastColumn="0" w:lastRowFirstColumn="0" w:lastRowLastColumn="0"/>
              <w:rPr>
                <w:b/>
              </w:rPr>
            </w:pPr>
            <w:r w:rsidRPr="000F157E">
              <w:rPr>
                <w:b/>
              </w:rPr>
              <w:t>kg N/ha</w:t>
            </w:r>
          </w:p>
        </w:tc>
        <w:tc>
          <w:tcPr>
            <w:tcW w:w="2409" w:type="dxa"/>
          </w:tcPr>
          <w:p w14:paraId="2942F06D" w14:textId="77777777" w:rsidR="00160F73" w:rsidRPr="000F157E" w:rsidRDefault="00160F73" w:rsidP="00160F73">
            <w:pPr>
              <w:pStyle w:val="TableDataHeading"/>
              <w:cnfStyle w:val="100000000000" w:firstRow="1" w:lastRow="0" w:firstColumn="0" w:lastColumn="0" w:oddVBand="0" w:evenVBand="0" w:oddHBand="0" w:evenHBand="0" w:firstRowFirstColumn="0" w:firstRowLastColumn="0" w:lastRowFirstColumn="0" w:lastRowLastColumn="0"/>
              <w:rPr>
                <w:b/>
              </w:rPr>
            </w:pPr>
            <w:r w:rsidRPr="000F157E">
              <w:rPr>
                <w:b/>
              </w:rPr>
              <w:t>N cost @$1.23 /kg</w:t>
            </w:r>
          </w:p>
        </w:tc>
      </w:tr>
      <w:tr w:rsidR="00160F73" w:rsidRPr="000F157E" w14:paraId="1A0FE126"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val="restart"/>
          </w:tcPr>
          <w:p w14:paraId="2AC099BD" w14:textId="77777777" w:rsidR="00160F73" w:rsidRPr="00160F73" w:rsidRDefault="00160F73" w:rsidP="00160F73">
            <w:pPr>
              <w:pStyle w:val="Tabledata"/>
              <w:rPr>
                <w:szCs w:val="18"/>
              </w:rPr>
            </w:pPr>
            <w:r w:rsidRPr="00160F73">
              <w:rPr>
                <w:szCs w:val="18"/>
              </w:rPr>
              <w:t xml:space="preserve">SIX EASY STEPS  </w:t>
            </w:r>
          </w:p>
        </w:tc>
        <w:tc>
          <w:tcPr>
            <w:tcW w:w="2410" w:type="dxa"/>
          </w:tcPr>
          <w:p w14:paraId="39D6C0C0"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Plant crop</w:t>
            </w:r>
          </w:p>
        </w:tc>
        <w:tc>
          <w:tcPr>
            <w:tcW w:w="1701" w:type="dxa"/>
          </w:tcPr>
          <w:p w14:paraId="7EAD5E76"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150</w:t>
            </w:r>
          </w:p>
        </w:tc>
        <w:tc>
          <w:tcPr>
            <w:tcW w:w="2409" w:type="dxa"/>
            <w:vMerge w:val="restart"/>
          </w:tcPr>
          <w:p w14:paraId="5C0DD777"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09EA28BF"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6E3D3E60" w14:textId="77777777" w:rsidR="00160F73" w:rsidRPr="00160F73" w:rsidRDefault="00160F73" w:rsidP="00160F73">
            <w:pPr>
              <w:pStyle w:val="Tabledata"/>
              <w:rPr>
                <w:szCs w:val="18"/>
              </w:rPr>
            </w:pPr>
          </w:p>
        </w:tc>
        <w:tc>
          <w:tcPr>
            <w:tcW w:w="2410" w:type="dxa"/>
          </w:tcPr>
          <w:p w14:paraId="3E8EE555"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R1</w:t>
            </w:r>
          </w:p>
        </w:tc>
        <w:tc>
          <w:tcPr>
            <w:tcW w:w="1701" w:type="dxa"/>
          </w:tcPr>
          <w:p w14:paraId="0B00BC7B"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 xml:space="preserve">190 </w:t>
            </w:r>
          </w:p>
        </w:tc>
        <w:tc>
          <w:tcPr>
            <w:tcW w:w="2409" w:type="dxa"/>
            <w:vMerge/>
          </w:tcPr>
          <w:p w14:paraId="364B82EA"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45B96EED"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7729E3C7" w14:textId="77777777" w:rsidR="00160F73" w:rsidRPr="00160F73" w:rsidRDefault="00160F73" w:rsidP="00160F73">
            <w:pPr>
              <w:pStyle w:val="Tabledata"/>
              <w:rPr>
                <w:szCs w:val="18"/>
              </w:rPr>
            </w:pPr>
          </w:p>
        </w:tc>
        <w:tc>
          <w:tcPr>
            <w:tcW w:w="2410" w:type="dxa"/>
          </w:tcPr>
          <w:p w14:paraId="1D143292"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R2</w:t>
            </w:r>
          </w:p>
        </w:tc>
        <w:tc>
          <w:tcPr>
            <w:tcW w:w="1701" w:type="dxa"/>
          </w:tcPr>
          <w:p w14:paraId="2AE4C675"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190</w:t>
            </w:r>
          </w:p>
        </w:tc>
        <w:tc>
          <w:tcPr>
            <w:tcW w:w="2409" w:type="dxa"/>
            <w:vMerge/>
          </w:tcPr>
          <w:p w14:paraId="259E51EB"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5E428DF9"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75E149AB" w14:textId="77777777" w:rsidR="00160F73" w:rsidRPr="00160F73" w:rsidRDefault="00160F73" w:rsidP="00160F73">
            <w:pPr>
              <w:pStyle w:val="Tabledata"/>
              <w:rPr>
                <w:szCs w:val="18"/>
              </w:rPr>
            </w:pPr>
          </w:p>
        </w:tc>
        <w:tc>
          <w:tcPr>
            <w:tcW w:w="2410" w:type="dxa"/>
          </w:tcPr>
          <w:p w14:paraId="5ED42193"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R3</w:t>
            </w:r>
          </w:p>
        </w:tc>
        <w:tc>
          <w:tcPr>
            <w:tcW w:w="1701" w:type="dxa"/>
          </w:tcPr>
          <w:p w14:paraId="0B18F95E"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190</w:t>
            </w:r>
          </w:p>
        </w:tc>
        <w:tc>
          <w:tcPr>
            <w:tcW w:w="2409" w:type="dxa"/>
            <w:vMerge/>
          </w:tcPr>
          <w:p w14:paraId="58235361"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20BA10A8"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3A4D6C37" w14:textId="77777777" w:rsidR="00160F73" w:rsidRPr="00160F73" w:rsidRDefault="00160F73" w:rsidP="00160F73">
            <w:pPr>
              <w:pStyle w:val="Tabledata"/>
              <w:rPr>
                <w:szCs w:val="18"/>
              </w:rPr>
            </w:pPr>
          </w:p>
        </w:tc>
        <w:tc>
          <w:tcPr>
            <w:tcW w:w="2410" w:type="dxa"/>
          </w:tcPr>
          <w:p w14:paraId="473D3CE4"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Average</w:t>
            </w:r>
          </w:p>
        </w:tc>
        <w:tc>
          <w:tcPr>
            <w:tcW w:w="1701" w:type="dxa"/>
          </w:tcPr>
          <w:p w14:paraId="1355D88A"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180</w:t>
            </w:r>
          </w:p>
        </w:tc>
        <w:tc>
          <w:tcPr>
            <w:tcW w:w="2409" w:type="dxa"/>
          </w:tcPr>
          <w:p w14:paraId="5F60D436"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$221.40 per ha</w:t>
            </w:r>
          </w:p>
        </w:tc>
      </w:tr>
      <w:tr w:rsidR="00160F73" w:rsidRPr="000F157E" w14:paraId="6D4CFD5B"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val="restart"/>
          </w:tcPr>
          <w:p w14:paraId="1D1DCC3C" w14:textId="77777777" w:rsidR="00160F73" w:rsidRPr="00160F73" w:rsidRDefault="00160F73" w:rsidP="00160F73">
            <w:pPr>
              <w:pStyle w:val="Tabledata"/>
              <w:rPr>
                <w:szCs w:val="18"/>
              </w:rPr>
            </w:pPr>
            <w:r w:rsidRPr="00160F73">
              <w:rPr>
                <w:szCs w:val="18"/>
              </w:rPr>
              <w:t>Grower</w:t>
            </w:r>
          </w:p>
        </w:tc>
        <w:tc>
          <w:tcPr>
            <w:tcW w:w="2410" w:type="dxa"/>
          </w:tcPr>
          <w:p w14:paraId="1B30CD0D"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Plant crop</w:t>
            </w:r>
          </w:p>
        </w:tc>
        <w:tc>
          <w:tcPr>
            <w:tcW w:w="1701" w:type="dxa"/>
          </w:tcPr>
          <w:p w14:paraId="3A37287D"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210</w:t>
            </w:r>
          </w:p>
        </w:tc>
        <w:tc>
          <w:tcPr>
            <w:tcW w:w="2409" w:type="dxa"/>
            <w:vMerge w:val="restart"/>
          </w:tcPr>
          <w:p w14:paraId="71192929"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4D1B63A0" w14:textId="77777777" w:rsidTr="00160F73">
        <w:tblPrEx>
          <w:tblCellMar>
            <w:top w:w="0" w:type="dxa"/>
            <w:left w:w="108" w:type="dxa"/>
            <w:bottom w:w="0" w:type="dxa"/>
            <w:right w:w="108" w:type="dxa"/>
          </w:tblCellMar>
        </w:tblPrEx>
        <w:trPr>
          <w:trHeight w:val="58"/>
        </w:trPr>
        <w:tc>
          <w:tcPr>
            <w:cnfStyle w:val="001000000000" w:firstRow="0" w:lastRow="0" w:firstColumn="1" w:lastColumn="0" w:oddVBand="0" w:evenVBand="0" w:oddHBand="0" w:evenHBand="0" w:firstRowFirstColumn="0" w:firstRowLastColumn="0" w:lastRowFirstColumn="0" w:lastRowLastColumn="0"/>
            <w:tcW w:w="2547" w:type="dxa"/>
            <w:vMerge/>
          </w:tcPr>
          <w:p w14:paraId="3DA088D1" w14:textId="77777777" w:rsidR="00160F73" w:rsidRPr="00160F73" w:rsidRDefault="00160F73" w:rsidP="00160F73">
            <w:pPr>
              <w:pStyle w:val="Tabledata"/>
              <w:rPr>
                <w:szCs w:val="18"/>
              </w:rPr>
            </w:pPr>
          </w:p>
        </w:tc>
        <w:tc>
          <w:tcPr>
            <w:tcW w:w="2410" w:type="dxa"/>
          </w:tcPr>
          <w:p w14:paraId="52AD7E09"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R1</w:t>
            </w:r>
          </w:p>
        </w:tc>
        <w:tc>
          <w:tcPr>
            <w:tcW w:w="1701" w:type="dxa"/>
          </w:tcPr>
          <w:p w14:paraId="64C8FD61"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250</w:t>
            </w:r>
          </w:p>
        </w:tc>
        <w:tc>
          <w:tcPr>
            <w:tcW w:w="2409" w:type="dxa"/>
            <w:vMerge/>
          </w:tcPr>
          <w:p w14:paraId="0DAD517A"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63C9C151"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2EC9D4B5" w14:textId="77777777" w:rsidR="00160F73" w:rsidRPr="00160F73" w:rsidRDefault="00160F73" w:rsidP="00160F73">
            <w:pPr>
              <w:pStyle w:val="Tabledata"/>
              <w:rPr>
                <w:szCs w:val="18"/>
              </w:rPr>
            </w:pPr>
          </w:p>
        </w:tc>
        <w:tc>
          <w:tcPr>
            <w:tcW w:w="2410" w:type="dxa"/>
          </w:tcPr>
          <w:p w14:paraId="0FF1E698"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R2</w:t>
            </w:r>
          </w:p>
        </w:tc>
        <w:tc>
          <w:tcPr>
            <w:tcW w:w="1701" w:type="dxa"/>
          </w:tcPr>
          <w:p w14:paraId="4E280998"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250</w:t>
            </w:r>
          </w:p>
        </w:tc>
        <w:tc>
          <w:tcPr>
            <w:tcW w:w="2409" w:type="dxa"/>
            <w:vMerge/>
          </w:tcPr>
          <w:p w14:paraId="7104E4C8"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0447A454"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4E0A3996" w14:textId="77777777" w:rsidR="00160F73" w:rsidRPr="00160F73" w:rsidRDefault="00160F73" w:rsidP="00160F73">
            <w:pPr>
              <w:pStyle w:val="Tabledata"/>
              <w:rPr>
                <w:szCs w:val="18"/>
              </w:rPr>
            </w:pPr>
          </w:p>
        </w:tc>
        <w:tc>
          <w:tcPr>
            <w:tcW w:w="2410" w:type="dxa"/>
          </w:tcPr>
          <w:p w14:paraId="794FFE50"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R3</w:t>
            </w:r>
          </w:p>
        </w:tc>
        <w:tc>
          <w:tcPr>
            <w:tcW w:w="1701" w:type="dxa"/>
          </w:tcPr>
          <w:p w14:paraId="0CDC4691"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250</w:t>
            </w:r>
          </w:p>
        </w:tc>
        <w:tc>
          <w:tcPr>
            <w:tcW w:w="2409" w:type="dxa"/>
            <w:vMerge/>
          </w:tcPr>
          <w:p w14:paraId="798BD3C2"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55CBD57E"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vMerge/>
          </w:tcPr>
          <w:p w14:paraId="4B77DEE4" w14:textId="77777777" w:rsidR="00160F73" w:rsidRPr="00160F73" w:rsidRDefault="00160F73" w:rsidP="00160F73">
            <w:pPr>
              <w:pStyle w:val="Tabledata"/>
              <w:rPr>
                <w:szCs w:val="18"/>
              </w:rPr>
            </w:pPr>
          </w:p>
        </w:tc>
        <w:tc>
          <w:tcPr>
            <w:tcW w:w="2410" w:type="dxa"/>
          </w:tcPr>
          <w:p w14:paraId="50AEA965"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Average</w:t>
            </w:r>
          </w:p>
        </w:tc>
        <w:tc>
          <w:tcPr>
            <w:tcW w:w="1701" w:type="dxa"/>
          </w:tcPr>
          <w:p w14:paraId="57A555FE"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240</w:t>
            </w:r>
          </w:p>
        </w:tc>
        <w:tc>
          <w:tcPr>
            <w:tcW w:w="2409" w:type="dxa"/>
          </w:tcPr>
          <w:p w14:paraId="7CE0C3FE"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 xml:space="preserve">$295.20 per ha </w:t>
            </w:r>
          </w:p>
        </w:tc>
      </w:tr>
      <w:tr w:rsidR="00160F73" w:rsidRPr="000F157E" w14:paraId="28494A36" w14:textId="77777777" w:rsidTr="00160F73">
        <w:tblPrEx>
          <w:tblCellMar>
            <w:top w:w="0" w:type="dxa"/>
            <w:left w:w="108" w:type="dxa"/>
            <w:bottom w:w="0" w:type="dxa"/>
            <w:right w:w="108" w:type="dxa"/>
          </w:tblCellMar>
        </w:tblPrEx>
        <w:trPr>
          <w:trHeight w:val="639"/>
        </w:trPr>
        <w:tc>
          <w:tcPr>
            <w:cnfStyle w:val="001000000000" w:firstRow="0" w:lastRow="0" w:firstColumn="1" w:lastColumn="0" w:oddVBand="0" w:evenVBand="0" w:oddHBand="0" w:evenHBand="0" w:firstRowFirstColumn="0" w:firstRowLastColumn="0" w:lastRowFirstColumn="0" w:lastRowLastColumn="0"/>
            <w:tcW w:w="9067" w:type="dxa"/>
            <w:gridSpan w:val="4"/>
          </w:tcPr>
          <w:p w14:paraId="70D7F7C6" w14:textId="474C961F" w:rsidR="00160F73" w:rsidRPr="00160F73" w:rsidRDefault="00160F73" w:rsidP="00160F73">
            <w:pPr>
              <w:pStyle w:val="Tabledata"/>
              <w:rPr>
                <w:szCs w:val="18"/>
              </w:rPr>
            </w:pPr>
            <w:r w:rsidRPr="00160F73">
              <w:rPr>
                <w:szCs w:val="18"/>
              </w:rPr>
              <w:t>Source for above data</w:t>
            </w:r>
            <w:r>
              <w:rPr>
                <w:szCs w:val="18"/>
              </w:rPr>
              <w:t xml:space="preserve">: </w:t>
            </w:r>
            <w:hyperlink r:id="rId11" w:history="1">
              <w:r w:rsidRPr="00160F73">
                <w:rPr>
                  <w:rStyle w:val="Hyperlink"/>
                  <w:rFonts w:cs="Arial"/>
                  <w:szCs w:val="18"/>
                </w:rPr>
                <w:t>https://sugarresearch.com.au/wp-content/uploads/2017/06/Nitrogen-Results-17-F.pdf</w:t>
              </w:r>
            </w:hyperlink>
          </w:p>
        </w:tc>
      </w:tr>
      <w:tr w:rsidR="00160F73" w:rsidRPr="000F157E" w14:paraId="066A4AE4"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6658" w:type="dxa"/>
            <w:gridSpan w:val="3"/>
          </w:tcPr>
          <w:p w14:paraId="1EB0C705" w14:textId="77777777" w:rsidR="00160F73" w:rsidRPr="00160F73" w:rsidRDefault="00160F73" w:rsidP="00160F73">
            <w:pPr>
              <w:pStyle w:val="Tabledata"/>
              <w:rPr>
                <w:szCs w:val="18"/>
              </w:rPr>
            </w:pPr>
            <w:r w:rsidRPr="00160F73">
              <w:rPr>
                <w:szCs w:val="18"/>
              </w:rPr>
              <w:t xml:space="preserve">Saved N cost by use of SIX EASY STEPS </w:t>
            </w:r>
          </w:p>
        </w:tc>
        <w:tc>
          <w:tcPr>
            <w:tcW w:w="2409" w:type="dxa"/>
          </w:tcPr>
          <w:p w14:paraId="7ECFD6A4"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$73.80 per ha ($295.20-$221.40)</w:t>
            </w:r>
          </w:p>
        </w:tc>
      </w:tr>
      <w:tr w:rsidR="00160F73" w:rsidRPr="000F157E" w14:paraId="2287753D" w14:textId="77777777" w:rsidTr="009E7CC2">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CBDCE0"/>
          </w:tcPr>
          <w:p w14:paraId="0CD6ABBF" w14:textId="77777777" w:rsidR="00160F73" w:rsidRPr="00160F73" w:rsidRDefault="00160F73" w:rsidP="00160F73">
            <w:pPr>
              <w:pStyle w:val="Tabledata"/>
              <w:rPr>
                <w:b/>
                <w:bCs/>
                <w:szCs w:val="18"/>
              </w:rPr>
            </w:pPr>
            <w:r w:rsidRPr="00160F73">
              <w:rPr>
                <w:b/>
                <w:bCs/>
                <w:szCs w:val="18"/>
              </w:rPr>
              <w:t>Revenue less fertiliser, harvesting cost of extra cane and levies over full crop cycle</w:t>
            </w:r>
          </w:p>
        </w:tc>
      </w:tr>
      <w:tr w:rsidR="00160F73" w:rsidRPr="000F157E" w14:paraId="5C1E0ABA"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tcPr>
          <w:p w14:paraId="41A95723" w14:textId="77777777" w:rsidR="00160F73" w:rsidRPr="00160F73" w:rsidRDefault="00160F73" w:rsidP="00160F73">
            <w:pPr>
              <w:pStyle w:val="Tabledata"/>
              <w:rPr>
                <w:szCs w:val="18"/>
              </w:rPr>
            </w:pPr>
            <w:r w:rsidRPr="00160F73">
              <w:rPr>
                <w:szCs w:val="18"/>
              </w:rPr>
              <w:t xml:space="preserve">SIX EASY STEPS </w:t>
            </w:r>
          </w:p>
        </w:tc>
        <w:tc>
          <w:tcPr>
            <w:tcW w:w="2410" w:type="dxa"/>
          </w:tcPr>
          <w:p w14:paraId="1880B97A"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$13,859</w:t>
            </w:r>
          </w:p>
        </w:tc>
        <w:tc>
          <w:tcPr>
            <w:tcW w:w="4110" w:type="dxa"/>
            <w:gridSpan w:val="2"/>
            <w:vMerge w:val="restart"/>
          </w:tcPr>
          <w:p w14:paraId="1D58360B"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 xml:space="preserve">Source: </w:t>
            </w:r>
            <w:hyperlink r:id="rId12" w:history="1">
              <w:r w:rsidRPr="00160F73">
                <w:rPr>
                  <w:rStyle w:val="Hyperlink"/>
                  <w:rFonts w:cs="Arial"/>
                  <w:szCs w:val="18"/>
                </w:rPr>
                <w:t>https://sugarresearch.com.au/wp-content/uploads/2017/06/Nitrogen-Results-17-F.pdf</w:t>
              </w:r>
            </w:hyperlink>
          </w:p>
        </w:tc>
      </w:tr>
      <w:tr w:rsidR="00160F73" w:rsidRPr="000F157E" w14:paraId="0E753D65"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tcPr>
          <w:p w14:paraId="078E6D65" w14:textId="77777777" w:rsidR="00160F73" w:rsidRPr="00160F73" w:rsidRDefault="00160F73" w:rsidP="00160F73">
            <w:pPr>
              <w:pStyle w:val="Tabledata"/>
              <w:rPr>
                <w:szCs w:val="18"/>
              </w:rPr>
            </w:pPr>
            <w:r w:rsidRPr="00160F73">
              <w:rPr>
                <w:szCs w:val="18"/>
              </w:rPr>
              <w:t>Grower</w:t>
            </w:r>
          </w:p>
        </w:tc>
        <w:tc>
          <w:tcPr>
            <w:tcW w:w="2410" w:type="dxa"/>
          </w:tcPr>
          <w:p w14:paraId="7E077DC6"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$13,073</w:t>
            </w:r>
          </w:p>
        </w:tc>
        <w:tc>
          <w:tcPr>
            <w:tcW w:w="4110" w:type="dxa"/>
            <w:gridSpan w:val="2"/>
            <w:vMerge/>
          </w:tcPr>
          <w:p w14:paraId="00711D14"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70DFF73B"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tcPr>
          <w:p w14:paraId="42C0F6DA" w14:textId="77777777" w:rsidR="00160F73" w:rsidRPr="00160F73" w:rsidRDefault="00160F73" w:rsidP="00160F73">
            <w:pPr>
              <w:pStyle w:val="Tabledata"/>
              <w:rPr>
                <w:szCs w:val="18"/>
              </w:rPr>
            </w:pPr>
            <w:r w:rsidRPr="00160F73">
              <w:rPr>
                <w:szCs w:val="18"/>
              </w:rPr>
              <w:t>SES net advantage</w:t>
            </w:r>
          </w:p>
        </w:tc>
        <w:tc>
          <w:tcPr>
            <w:tcW w:w="2410" w:type="dxa"/>
          </w:tcPr>
          <w:p w14:paraId="7FCAE025"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$786 per ha full crop cycle</w:t>
            </w:r>
          </w:p>
        </w:tc>
        <w:tc>
          <w:tcPr>
            <w:tcW w:w="4110" w:type="dxa"/>
            <w:gridSpan w:val="2"/>
            <w:vMerge/>
          </w:tcPr>
          <w:p w14:paraId="2505F6F6"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2A2A424D" w14:textId="77777777" w:rsidTr="00160F73">
        <w:tblPrEx>
          <w:tblCellMar>
            <w:top w:w="0" w:type="dxa"/>
            <w:left w:w="108" w:type="dxa"/>
            <w:bottom w:w="0" w:type="dxa"/>
            <w:right w:w="108" w:type="dxa"/>
          </w:tblCellMar>
        </w:tblPrEx>
        <w:tc>
          <w:tcPr>
            <w:cnfStyle w:val="001000000000" w:firstRow="0" w:lastRow="0" w:firstColumn="1" w:lastColumn="0" w:oddVBand="0" w:evenVBand="0" w:oddHBand="0" w:evenHBand="0" w:firstRowFirstColumn="0" w:firstRowLastColumn="0" w:lastRowFirstColumn="0" w:lastRowLastColumn="0"/>
            <w:tcW w:w="2547" w:type="dxa"/>
          </w:tcPr>
          <w:p w14:paraId="5B1C97A8" w14:textId="77777777" w:rsidR="00160F73" w:rsidRPr="00160F73" w:rsidRDefault="00160F73" w:rsidP="00160F73">
            <w:pPr>
              <w:pStyle w:val="Tabledata"/>
              <w:rPr>
                <w:szCs w:val="18"/>
              </w:rPr>
            </w:pPr>
            <w:r w:rsidRPr="00160F73">
              <w:rPr>
                <w:szCs w:val="18"/>
              </w:rPr>
              <w:t>SES net advantage</w:t>
            </w:r>
          </w:p>
        </w:tc>
        <w:tc>
          <w:tcPr>
            <w:tcW w:w="2410" w:type="dxa"/>
          </w:tcPr>
          <w:p w14:paraId="72F2E05E"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r w:rsidRPr="00160F73">
              <w:rPr>
                <w:szCs w:val="18"/>
              </w:rPr>
              <w:t xml:space="preserve">$157.20 per ha per annum </w:t>
            </w:r>
          </w:p>
        </w:tc>
        <w:tc>
          <w:tcPr>
            <w:tcW w:w="4110" w:type="dxa"/>
            <w:gridSpan w:val="2"/>
            <w:vMerge/>
          </w:tcPr>
          <w:p w14:paraId="6A967C45" w14:textId="77777777" w:rsidR="00160F73" w:rsidRPr="00160F73" w:rsidRDefault="00160F73" w:rsidP="00160F73">
            <w:pPr>
              <w:pStyle w:val="Tabledata"/>
              <w:cnfStyle w:val="000000000000" w:firstRow="0" w:lastRow="0" w:firstColumn="0" w:lastColumn="0" w:oddVBand="0" w:evenVBand="0" w:oddHBand="0" w:evenHBand="0" w:firstRowFirstColumn="0" w:firstRowLastColumn="0" w:lastRowFirstColumn="0" w:lastRowLastColumn="0"/>
              <w:rPr>
                <w:szCs w:val="18"/>
              </w:rPr>
            </w:pPr>
          </w:p>
        </w:tc>
      </w:tr>
      <w:tr w:rsidR="00160F73" w:rsidRPr="000F157E" w14:paraId="3DCD8606" w14:textId="77777777" w:rsidTr="00160F73">
        <w:tblPrEx>
          <w:tblCellMar>
            <w:top w:w="0" w:type="dxa"/>
            <w:left w:w="108" w:type="dxa"/>
            <w:bottom w:w="0" w:type="dxa"/>
            <w:right w:w="108" w:type="dxa"/>
          </w:tblCellMar>
        </w:tblPrEx>
        <w:trPr>
          <w:trHeight w:val="299"/>
        </w:trPr>
        <w:tc>
          <w:tcPr>
            <w:cnfStyle w:val="001000000000" w:firstRow="0" w:lastRow="0" w:firstColumn="1" w:lastColumn="0" w:oddVBand="0" w:evenVBand="0" w:oddHBand="0" w:evenHBand="0" w:firstRowFirstColumn="0" w:firstRowLastColumn="0" w:lastRowFirstColumn="0" w:lastRowLastColumn="0"/>
            <w:tcW w:w="9067" w:type="dxa"/>
            <w:gridSpan w:val="4"/>
          </w:tcPr>
          <w:p w14:paraId="323E58A5" w14:textId="77777777" w:rsidR="00160F73" w:rsidRPr="00160F73" w:rsidRDefault="00160F73" w:rsidP="00160F73">
            <w:pPr>
              <w:pStyle w:val="Tabledata"/>
              <w:rPr>
                <w:b/>
                <w:bCs/>
                <w:szCs w:val="18"/>
              </w:rPr>
            </w:pPr>
            <w:r w:rsidRPr="00160F73">
              <w:rPr>
                <w:b/>
                <w:bCs/>
                <w:szCs w:val="18"/>
              </w:rPr>
              <w:t xml:space="preserve">Conclusion </w:t>
            </w:r>
          </w:p>
          <w:p w14:paraId="1CDB6F29" w14:textId="77777777" w:rsidR="00160F73" w:rsidRPr="00160F73" w:rsidRDefault="00160F73" w:rsidP="00160F73">
            <w:pPr>
              <w:pStyle w:val="Tabledata"/>
              <w:rPr>
                <w:szCs w:val="18"/>
              </w:rPr>
            </w:pPr>
            <w:r w:rsidRPr="00160F73">
              <w:rPr>
                <w:szCs w:val="18"/>
              </w:rPr>
              <w:t>Any small increase in sugarcane yield from using a higher nitrogen rate than SIX EASY STEPS appears to be more than offset by:</w:t>
            </w:r>
          </w:p>
          <w:p w14:paraId="29443ABB" w14:textId="77777777" w:rsidR="00160F73" w:rsidRPr="00160F73" w:rsidRDefault="00160F73" w:rsidP="00160F73">
            <w:pPr>
              <w:pStyle w:val="Bullets"/>
            </w:pPr>
            <w:r w:rsidRPr="00160F73">
              <w:t xml:space="preserve">the negative impact of ccs for the higher grower N rate </w:t>
            </w:r>
          </w:p>
          <w:p w14:paraId="398DF2AC" w14:textId="77777777" w:rsidR="00160F73" w:rsidRPr="00160F73" w:rsidRDefault="00160F73" w:rsidP="00160F73">
            <w:pPr>
              <w:pStyle w:val="Bullets"/>
            </w:pPr>
            <w:r w:rsidRPr="00160F73">
              <w:t xml:space="preserve">the marginal harvesting cost of additional cane </w:t>
            </w:r>
          </w:p>
          <w:p w14:paraId="15A3890D" w14:textId="77777777" w:rsidR="00160F73" w:rsidRPr="00160F73" w:rsidRDefault="00160F73" w:rsidP="00160F73">
            <w:pPr>
              <w:pStyle w:val="Tabledata"/>
              <w:rPr>
                <w:b/>
                <w:bCs/>
                <w:szCs w:val="18"/>
              </w:rPr>
            </w:pPr>
            <w:r w:rsidRPr="00160F73">
              <w:rPr>
                <w:b/>
                <w:bCs/>
                <w:szCs w:val="18"/>
              </w:rPr>
              <w:t xml:space="preserve">Hence, from this trial, </w:t>
            </w:r>
            <w:proofErr w:type="gramStart"/>
            <w:r w:rsidRPr="00160F73">
              <w:rPr>
                <w:b/>
                <w:bCs/>
                <w:szCs w:val="18"/>
              </w:rPr>
              <w:t>it would appear that using</w:t>
            </w:r>
            <w:proofErr w:type="gramEnd"/>
            <w:r w:rsidRPr="00160F73">
              <w:rPr>
                <w:b/>
                <w:bCs/>
                <w:szCs w:val="18"/>
              </w:rPr>
              <w:t xml:space="preserve"> the average saved N fertiliser cost ($73.80 per ha) would be a valid but conservative estimate of the total advantage of using SES ($157.20 per ha) over grower rates.  </w:t>
            </w:r>
          </w:p>
        </w:tc>
      </w:tr>
    </w:tbl>
    <w:p w14:paraId="60692934" w14:textId="77777777" w:rsidR="0024031A" w:rsidRDefault="0024031A" w:rsidP="0024031A">
      <w:pPr>
        <w:pStyle w:val="BodyCopy"/>
      </w:pPr>
    </w:p>
    <w:p w14:paraId="3D5E9CE9" w14:textId="77777777" w:rsidR="0024031A" w:rsidRDefault="0024031A" w:rsidP="00160F73">
      <w:pPr>
        <w:pStyle w:val="Heading2"/>
      </w:pPr>
      <w:r>
        <w:t>Results</w:t>
      </w:r>
    </w:p>
    <w:p w14:paraId="71B67B7F" w14:textId="467012E6" w:rsidR="0024031A" w:rsidRDefault="0024031A" w:rsidP="0024031A">
      <w:pPr>
        <w:pStyle w:val="BodyCopy"/>
      </w:pPr>
      <w:r>
        <w:t>All past costs and benefits were expressed in 2019/20-dollar terms using the Implicit Price Deflator for Gross Domestic Product (Australian Bureau of Statistics, 2020). All benefits after 2019/20 were expressed in 2019/20-dollar terms. All costs and benefits were discounted to 2019/20 using a discount rate of 5%. A Re-investment rate of 5% was used for estimating the Modified Internal Rate of Return (MIRR). The base analysis used the best estimates of each variable, notwithstanding a high level of uncertainty for many of the estimates</w:t>
      </w:r>
      <w:r w:rsidR="00725308">
        <w:t xml:space="preserve">. </w:t>
      </w:r>
      <w:r>
        <w:t>All analyses ran for a period of 30 years after the last year of investment (2019/20)</w:t>
      </w:r>
      <w:r w:rsidR="00725308">
        <w:t xml:space="preserve">. </w:t>
      </w:r>
    </w:p>
    <w:p w14:paraId="00ACA3B6" w14:textId="7BE7F45C" w:rsidR="0024031A" w:rsidRDefault="0024031A" w:rsidP="0024031A">
      <w:pPr>
        <w:pStyle w:val="BodyCopy"/>
      </w:pPr>
      <w:r>
        <w:t>The investment criteria are reported for the total investment, the SRA investment, and the DES investment in Table A7, Table A8 and Table A9</w:t>
      </w:r>
      <w:r w:rsidR="00725308">
        <w:t xml:space="preserve">. </w:t>
      </w:r>
      <w:r>
        <w:t xml:space="preserve"> </w:t>
      </w:r>
    </w:p>
    <w:p w14:paraId="01A73BB4" w14:textId="71206E27" w:rsidR="0024031A" w:rsidRDefault="0024031A" w:rsidP="00160F73">
      <w:pPr>
        <w:pStyle w:val="TableHeading"/>
      </w:pPr>
      <w:r>
        <w:t>Table A7: Investment Criteria for Total Investment</w:t>
      </w:r>
      <w:r w:rsidR="00160F73">
        <w:t xml:space="preserve"> </w:t>
      </w:r>
      <w:r>
        <w:t>(discount rate 5%)</w:t>
      </w:r>
    </w:p>
    <w:tbl>
      <w:tblPr>
        <w:tblStyle w:val="SRATable"/>
        <w:tblW w:w="9067" w:type="dxa"/>
        <w:tblLayout w:type="fixed"/>
        <w:tblLook w:val="0000" w:firstRow="0" w:lastRow="0" w:firstColumn="0" w:lastColumn="0" w:noHBand="0" w:noVBand="0"/>
      </w:tblPr>
      <w:tblGrid>
        <w:gridCol w:w="2830"/>
        <w:gridCol w:w="993"/>
        <w:gridCol w:w="992"/>
        <w:gridCol w:w="688"/>
        <w:gridCol w:w="891"/>
        <w:gridCol w:w="891"/>
        <w:gridCol w:w="891"/>
        <w:gridCol w:w="891"/>
      </w:tblGrid>
      <w:tr w:rsidR="00160F73" w:rsidRPr="00E64B7E" w14:paraId="26A82954" w14:textId="77777777" w:rsidTr="009E7CC2">
        <w:trPr>
          <w:trHeight w:val="247"/>
        </w:trPr>
        <w:tc>
          <w:tcPr>
            <w:tcW w:w="2830" w:type="dxa"/>
            <w:vMerge w:val="restart"/>
            <w:shd w:val="clear" w:color="auto" w:fill="CBDCE0"/>
          </w:tcPr>
          <w:p w14:paraId="0F5D0A8B" w14:textId="385E6C8A" w:rsidR="00160F73" w:rsidRPr="00E64B7E" w:rsidRDefault="00160F73" w:rsidP="00160F73">
            <w:pPr>
              <w:pStyle w:val="TableDataHeading"/>
            </w:pPr>
            <w:r w:rsidRPr="00E64B7E">
              <w:t>Investment Criteria</w:t>
            </w:r>
          </w:p>
        </w:tc>
        <w:tc>
          <w:tcPr>
            <w:tcW w:w="6237" w:type="dxa"/>
            <w:gridSpan w:val="7"/>
            <w:shd w:val="clear" w:color="auto" w:fill="CBDCE0"/>
          </w:tcPr>
          <w:p w14:paraId="7F6A28B2" w14:textId="77777777" w:rsidR="00160F73" w:rsidRPr="00E64B7E" w:rsidRDefault="00160F73" w:rsidP="009E7CC2">
            <w:pPr>
              <w:pStyle w:val="TableDataHeading"/>
              <w:jc w:val="center"/>
            </w:pPr>
            <w:r w:rsidRPr="00E64B7E">
              <w:t>Years from last year of investment</w:t>
            </w:r>
          </w:p>
        </w:tc>
      </w:tr>
      <w:tr w:rsidR="00160F73" w:rsidRPr="00E64B7E" w14:paraId="37A05C2E" w14:textId="77777777" w:rsidTr="00160F73">
        <w:trPr>
          <w:trHeight w:val="247"/>
        </w:trPr>
        <w:tc>
          <w:tcPr>
            <w:tcW w:w="2830" w:type="dxa"/>
            <w:vMerge/>
          </w:tcPr>
          <w:p w14:paraId="1C464E50" w14:textId="77777777" w:rsidR="00160F73" w:rsidRPr="00E64B7E" w:rsidRDefault="00160F73" w:rsidP="00160F73">
            <w:pPr>
              <w:pStyle w:val="TableDataHeading"/>
            </w:pPr>
          </w:p>
        </w:tc>
        <w:tc>
          <w:tcPr>
            <w:tcW w:w="993" w:type="dxa"/>
          </w:tcPr>
          <w:p w14:paraId="503721E3" w14:textId="77777777" w:rsidR="00160F73" w:rsidRPr="00E64B7E" w:rsidRDefault="00160F73" w:rsidP="00160F73">
            <w:pPr>
              <w:pStyle w:val="TableDataHeading"/>
              <w:jc w:val="center"/>
            </w:pPr>
            <w:r w:rsidRPr="00E64B7E">
              <w:t>0</w:t>
            </w:r>
          </w:p>
        </w:tc>
        <w:tc>
          <w:tcPr>
            <w:tcW w:w="992" w:type="dxa"/>
          </w:tcPr>
          <w:p w14:paraId="6E1BDE99" w14:textId="77777777" w:rsidR="00160F73" w:rsidRPr="00E64B7E" w:rsidRDefault="00160F73" w:rsidP="00160F73">
            <w:pPr>
              <w:pStyle w:val="TableDataHeading"/>
              <w:jc w:val="center"/>
            </w:pPr>
            <w:r w:rsidRPr="00E64B7E">
              <w:t>5</w:t>
            </w:r>
          </w:p>
        </w:tc>
        <w:tc>
          <w:tcPr>
            <w:tcW w:w="688" w:type="dxa"/>
          </w:tcPr>
          <w:p w14:paraId="3E378B51" w14:textId="77777777" w:rsidR="00160F73" w:rsidRPr="00E64B7E" w:rsidRDefault="00160F73" w:rsidP="00160F73">
            <w:pPr>
              <w:pStyle w:val="TableDataHeading"/>
              <w:jc w:val="center"/>
            </w:pPr>
            <w:r w:rsidRPr="00E64B7E">
              <w:t>10</w:t>
            </w:r>
          </w:p>
        </w:tc>
        <w:tc>
          <w:tcPr>
            <w:tcW w:w="891" w:type="dxa"/>
          </w:tcPr>
          <w:p w14:paraId="73E88674" w14:textId="77777777" w:rsidR="00160F73" w:rsidRPr="00E64B7E" w:rsidRDefault="00160F73" w:rsidP="00160F73">
            <w:pPr>
              <w:pStyle w:val="TableDataHeading"/>
              <w:jc w:val="center"/>
            </w:pPr>
            <w:r w:rsidRPr="00E64B7E">
              <w:t>15</w:t>
            </w:r>
          </w:p>
        </w:tc>
        <w:tc>
          <w:tcPr>
            <w:tcW w:w="891" w:type="dxa"/>
          </w:tcPr>
          <w:p w14:paraId="3A7AFCCA" w14:textId="77777777" w:rsidR="00160F73" w:rsidRPr="00E64B7E" w:rsidRDefault="00160F73" w:rsidP="00160F73">
            <w:pPr>
              <w:pStyle w:val="TableDataHeading"/>
              <w:jc w:val="center"/>
            </w:pPr>
            <w:r w:rsidRPr="00E64B7E">
              <w:t>20</w:t>
            </w:r>
          </w:p>
        </w:tc>
        <w:tc>
          <w:tcPr>
            <w:tcW w:w="891" w:type="dxa"/>
          </w:tcPr>
          <w:p w14:paraId="1B40938C" w14:textId="77777777" w:rsidR="00160F73" w:rsidRPr="00E64B7E" w:rsidRDefault="00160F73" w:rsidP="00160F73">
            <w:pPr>
              <w:pStyle w:val="TableDataHeading"/>
              <w:jc w:val="center"/>
            </w:pPr>
            <w:r w:rsidRPr="00E64B7E">
              <w:t>25</w:t>
            </w:r>
          </w:p>
        </w:tc>
        <w:tc>
          <w:tcPr>
            <w:tcW w:w="891" w:type="dxa"/>
          </w:tcPr>
          <w:p w14:paraId="17692440" w14:textId="77777777" w:rsidR="00160F73" w:rsidRPr="00E64B7E" w:rsidRDefault="00160F73" w:rsidP="00160F73">
            <w:pPr>
              <w:pStyle w:val="TableDataHeading"/>
              <w:jc w:val="center"/>
            </w:pPr>
            <w:r w:rsidRPr="00E64B7E">
              <w:t>30</w:t>
            </w:r>
          </w:p>
        </w:tc>
      </w:tr>
      <w:tr w:rsidR="00160F73" w:rsidRPr="00E64B7E" w14:paraId="53FD9D13" w14:textId="77777777" w:rsidTr="00160F73">
        <w:trPr>
          <w:trHeight w:val="247"/>
        </w:trPr>
        <w:tc>
          <w:tcPr>
            <w:tcW w:w="2830" w:type="dxa"/>
          </w:tcPr>
          <w:p w14:paraId="1DFD1BA4" w14:textId="77777777" w:rsidR="00160F73" w:rsidRPr="00E64B7E" w:rsidRDefault="00160F73" w:rsidP="00160F73">
            <w:pPr>
              <w:pStyle w:val="Tabledata"/>
            </w:pPr>
            <w:r w:rsidRPr="00E64B7E">
              <w:t>Present value of benefits ($</w:t>
            </w:r>
            <w:r>
              <w:t>m</w:t>
            </w:r>
            <w:r w:rsidRPr="00E64B7E">
              <w:t>)</w:t>
            </w:r>
          </w:p>
        </w:tc>
        <w:tc>
          <w:tcPr>
            <w:tcW w:w="993" w:type="dxa"/>
          </w:tcPr>
          <w:p w14:paraId="121A2EA2" w14:textId="77777777" w:rsidR="00160F73" w:rsidRPr="002466AC" w:rsidRDefault="00160F73" w:rsidP="00160F73">
            <w:pPr>
              <w:pStyle w:val="Tabledata"/>
              <w:jc w:val="center"/>
              <w:rPr>
                <w:sz w:val="20"/>
                <w:szCs w:val="20"/>
              </w:rPr>
            </w:pPr>
            <w:r>
              <w:rPr>
                <w:color w:val="000000"/>
              </w:rPr>
              <w:t>0.00</w:t>
            </w:r>
          </w:p>
        </w:tc>
        <w:tc>
          <w:tcPr>
            <w:tcW w:w="992" w:type="dxa"/>
          </w:tcPr>
          <w:p w14:paraId="117BBE58" w14:textId="77777777" w:rsidR="00160F73" w:rsidRPr="002466AC" w:rsidRDefault="00160F73" w:rsidP="00160F73">
            <w:pPr>
              <w:pStyle w:val="Tabledata"/>
              <w:jc w:val="center"/>
              <w:rPr>
                <w:sz w:val="20"/>
                <w:szCs w:val="20"/>
              </w:rPr>
            </w:pPr>
            <w:r>
              <w:rPr>
                <w:color w:val="000000"/>
              </w:rPr>
              <w:t>1.15</w:t>
            </w:r>
          </w:p>
        </w:tc>
        <w:tc>
          <w:tcPr>
            <w:tcW w:w="688" w:type="dxa"/>
          </w:tcPr>
          <w:p w14:paraId="5341E001" w14:textId="77777777" w:rsidR="00160F73" w:rsidRPr="002466AC" w:rsidRDefault="00160F73" w:rsidP="00160F73">
            <w:pPr>
              <w:pStyle w:val="Tabledata"/>
              <w:jc w:val="center"/>
              <w:rPr>
                <w:sz w:val="20"/>
                <w:szCs w:val="20"/>
              </w:rPr>
            </w:pPr>
            <w:r>
              <w:rPr>
                <w:color w:val="000000"/>
              </w:rPr>
              <w:t>2.12</w:t>
            </w:r>
          </w:p>
        </w:tc>
        <w:tc>
          <w:tcPr>
            <w:tcW w:w="891" w:type="dxa"/>
          </w:tcPr>
          <w:p w14:paraId="213B5C62" w14:textId="77777777" w:rsidR="00160F73" w:rsidRPr="002466AC" w:rsidRDefault="00160F73" w:rsidP="00160F73">
            <w:pPr>
              <w:pStyle w:val="Tabledata"/>
              <w:jc w:val="center"/>
              <w:rPr>
                <w:sz w:val="20"/>
                <w:szCs w:val="20"/>
              </w:rPr>
            </w:pPr>
            <w:r>
              <w:rPr>
                <w:color w:val="000000"/>
              </w:rPr>
              <w:t>2.12</w:t>
            </w:r>
          </w:p>
        </w:tc>
        <w:tc>
          <w:tcPr>
            <w:tcW w:w="891" w:type="dxa"/>
          </w:tcPr>
          <w:p w14:paraId="7D53E328" w14:textId="77777777" w:rsidR="00160F73" w:rsidRPr="002466AC" w:rsidRDefault="00160F73" w:rsidP="00160F73">
            <w:pPr>
              <w:pStyle w:val="Tabledata"/>
              <w:jc w:val="center"/>
              <w:rPr>
                <w:sz w:val="20"/>
                <w:szCs w:val="20"/>
              </w:rPr>
            </w:pPr>
            <w:r>
              <w:rPr>
                <w:color w:val="000000"/>
              </w:rPr>
              <w:t>2.12</w:t>
            </w:r>
          </w:p>
        </w:tc>
        <w:tc>
          <w:tcPr>
            <w:tcW w:w="891" w:type="dxa"/>
          </w:tcPr>
          <w:p w14:paraId="163E6148" w14:textId="77777777" w:rsidR="00160F73" w:rsidRPr="002466AC" w:rsidRDefault="00160F73" w:rsidP="00160F73">
            <w:pPr>
              <w:pStyle w:val="Tabledata"/>
              <w:jc w:val="center"/>
              <w:rPr>
                <w:sz w:val="20"/>
                <w:szCs w:val="20"/>
              </w:rPr>
            </w:pPr>
            <w:r>
              <w:rPr>
                <w:color w:val="000000"/>
              </w:rPr>
              <w:t>2.12</w:t>
            </w:r>
          </w:p>
        </w:tc>
        <w:tc>
          <w:tcPr>
            <w:tcW w:w="891" w:type="dxa"/>
          </w:tcPr>
          <w:p w14:paraId="7226C26C" w14:textId="77777777" w:rsidR="00160F73" w:rsidRPr="002466AC" w:rsidRDefault="00160F73" w:rsidP="00160F73">
            <w:pPr>
              <w:pStyle w:val="Tabledata"/>
              <w:jc w:val="center"/>
              <w:rPr>
                <w:sz w:val="20"/>
                <w:szCs w:val="20"/>
              </w:rPr>
            </w:pPr>
            <w:r>
              <w:rPr>
                <w:color w:val="000000"/>
              </w:rPr>
              <w:t>2.12</w:t>
            </w:r>
          </w:p>
        </w:tc>
      </w:tr>
      <w:tr w:rsidR="00160F73" w:rsidRPr="00E64B7E" w14:paraId="2D767163" w14:textId="77777777" w:rsidTr="00160F73">
        <w:trPr>
          <w:trHeight w:val="247"/>
        </w:trPr>
        <w:tc>
          <w:tcPr>
            <w:tcW w:w="2830" w:type="dxa"/>
          </w:tcPr>
          <w:p w14:paraId="437FB4D9" w14:textId="77777777" w:rsidR="00160F73" w:rsidRPr="00E64B7E" w:rsidRDefault="00160F73" w:rsidP="00160F73">
            <w:pPr>
              <w:pStyle w:val="Tabledata"/>
            </w:pPr>
            <w:r w:rsidRPr="00E64B7E">
              <w:t>Present value of costs ($</w:t>
            </w:r>
            <w:r>
              <w:t>m</w:t>
            </w:r>
            <w:r w:rsidRPr="00E64B7E">
              <w:t>)</w:t>
            </w:r>
          </w:p>
        </w:tc>
        <w:tc>
          <w:tcPr>
            <w:tcW w:w="993" w:type="dxa"/>
          </w:tcPr>
          <w:p w14:paraId="1549C599" w14:textId="77777777" w:rsidR="00160F73" w:rsidRPr="002466AC" w:rsidRDefault="00160F73" w:rsidP="00160F73">
            <w:pPr>
              <w:pStyle w:val="Tabledata"/>
              <w:jc w:val="center"/>
              <w:rPr>
                <w:sz w:val="20"/>
                <w:szCs w:val="20"/>
              </w:rPr>
            </w:pPr>
            <w:r>
              <w:rPr>
                <w:color w:val="000000"/>
              </w:rPr>
              <w:t>1.75</w:t>
            </w:r>
          </w:p>
        </w:tc>
        <w:tc>
          <w:tcPr>
            <w:tcW w:w="992" w:type="dxa"/>
          </w:tcPr>
          <w:p w14:paraId="4A2E2D1D" w14:textId="77777777" w:rsidR="00160F73" w:rsidRPr="002466AC" w:rsidRDefault="00160F73" w:rsidP="00160F73">
            <w:pPr>
              <w:pStyle w:val="Tabledata"/>
              <w:jc w:val="center"/>
              <w:rPr>
                <w:sz w:val="20"/>
                <w:szCs w:val="20"/>
              </w:rPr>
            </w:pPr>
            <w:r>
              <w:rPr>
                <w:color w:val="000000"/>
              </w:rPr>
              <w:t>1.75</w:t>
            </w:r>
          </w:p>
        </w:tc>
        <w:tc>
          <w:tcPr>
            <w:tcW w:w="688" w:type="dxa"/>
          </w:tcPr>
          <w:p w14:paraId="688583A8" w14:textId="77777777" w:rsidR="00160F73" w:rsidRPr="002466AC" w:rsidRDefault="00160F73" w:rsidP="00160F73">
            <w:pPr>
              <w:pStyle w:val="Tabledata"/>
              <w:jc w:val="center"/>
              <w:rPr>
                <w:sz w:val="20"/>
                <w:szCs w:val="20"/>
              </w:rPr>
            </w:pPr>
            <w:r>
              <w:rPr>
                <w:color w:val="000000"/>
              </w:rPr>
              <w:t>1.75</w:t>
            </w:r>
          </w:p>
        </w:tc>
        <w:tc>
          <w:tcPr>
            <w:tcW w:w="891" w:type="dxa"/>
          </w:tcPr>
          <w:p w14:paraId="6518A0DE" w14:textId="77777777" w:rsidR="00160F73" w:rsidRPr="002466AC" w:rsidRDefault="00160F73" w:rsidP="00160F73">
            <w:pPr>
              <w:pStyle w:val="Tabledata"/>
              <w:jc w:val="center"/>
              <w:rPr>
                <w:sz w:val="20"/>
                <w:szCs w:val="20"/>
              </w:rPr>
            </w:pPr>
            <w:r>
              <w:rPr>
                <w:color w:val="000000"/>
              </w:rPr>
              <w:t>1.75</w:t>
            </w:r>
          </w:p>
        </w:tc>
        <w:tc>
          <w:tcPr>
            <w:tcW w:w="891" w:type="dxa"/>
          </w:tcPr>
          <w:p w14:paraId="7CE04082" w14:textId="77777777" w:rsidR="00160F73" w:rsidRPr="002466AC" w:rsidRDefault="00160F73" w:rsidP="00160F73">
            <w:pPr>
              <w:pStyle w:val="Tabledata"/>
              <w:jc w:val="center"/>
              <w:rPr>
                <w:sz w:val="20"/>
                <w:szCs w:val="20"/>
              </w:rPr>
            </w:pPr>
            <w:r>
              <w:rPr>
                <w:color w:val="000000"/>
              </w:rPr>
              <w:t>1.75</w:t>
            </w:r>
          </w:p>
        </w:tc>
        <w:tc>
          <w:tcPr>
            <w:tcW w:w="891" w:type="dxa"/>
          </w:tcPr>
          <w:p w14:paraId="4217AF97" w14:textId="77777777" w:rsidR="00160F73" w:rsidRPr="002466AC" w:rsidRDefault="00160F73" w:rsidP="00160F73">
            <w:pPr>
              <w:pStyle w:val="Tabledata"/>
              <w:jc w:val="center"/>
              <w:rPr>
                <w:sz w:val="20"/>
                <w:szCs w:val="20"/>
              </w:rPr>
            </w:pPr>
            <w:r>
              <w:rPr>
                <w:color w:val="000000"/>
              </w:rPr>
              <w:t>1.75</w:t>
            </w:r>
          </w:p>
        </w:tc>
        <w:tc>
          <w:tcPr>
            <w:tcW w:w="891" w:type="dxa"/>
          </w:tcPr>
          <w:p w14:paraId="21B81125" w14:textId="77777777" w:rsidR="00160F73" w:rsidRPr="002466AC" w:rsidRDefault="00160F73" w:rsidP="00160F73">
            <w:pPr>
              <w:pStyle w:val="Tabledata"/>
              <w:jc w:val="center"/>
              <w:rPr>
                <w:sz w:val="20"/>
                <w:szCs w:val="20"/>
              </w:rPr>
            </w:pPr>
            <w:r>
              <w:rPr>
                <w:color w:val="000000"/>
              </w:rPr>
              <w:t>1.75</w:t>
            </w:r>
          </w:p>
        </w:tc>
      </w:tr>
      <w:tr w:rsidR="00160F73" w:rsidRPr="00E64B7E" w14:paraId="43ED2369" w14:textId="77777777" w:rsidTr="00160F73">
        <w:trPr>
          <w:trHeight w:val="247"/>
        </w:trPr>
        <w:tc>
          <w:tcPr>
            <w:tcW w:w="2830" w:type="dxa"/>
          </w:tcPr>
          <w:p w14:paraId="33E8BE9A" w14:textId="77777777" w:rsidR="00160F73" w:rsidRPr="00E64B7E" w:rsidRDefault="00160F73" w:rsidP="00160F73">
            <w:pPr>
              <w:pStyle w:val="Tabledata"/>
            </w:pPr>
            <w:r w:rsidRPr="00E64B7E">
              <w:t>Net present value ($</w:t>
            </w:r>
            <w:r>
              <w:t>m</w:t>
            </w:r>
          </w:p>
        </w:tc>
        <w:tc>
          <w:tcPr>
            <w:tcW w:w="993" w:type="dxa"/>
          </w:tcPr>
          <w:p w14:paraId="02E4F968" w14:textId="77777777" w:rsidR="00160F73" w:rsidRPr="002466AC" w:rsidRDefault="00160F73" w:rsidP="00160F73">
            <w:pPr>
              <w:pStyle w:val="Tabledata"/>
              <w:jc w:val="center"/>
              <w:rPr>
                <w:sz w:val="20"/>
                <w:szCs w:val="20"/>
              </w:rPr>
            </w:pPr>
            <w:r>
              <w:rPr>
                <w:color w:val="000000"/>
              </w:rPr>
              <w:t>-1.75</w:t>
            </w:r>
          </w:p>
        </w:tc>
        <w:tc>
          <w:tcPr>
            <w:tcW w:w="992" w:type="dxa"/>
          </w:tcPr>
          <w:p w14:paraId="2540CDFE" w14:textId="77777777" w:rsidR="00160F73" w:rsidRPr="002466AC" w:rsidRDefault="00160F73" w:rsidP="00160F73">
            <w:pPr>
              <w:pStyle w:val="Tabledata"/>
              <w:jc w:val="center"/>
              <w:rPr>
                <w:sz w:val="20"/>
                <w:szCs w:val="20"/>
              </w:rPr>
            </w:pPr>
            <w:r>
              <w:rPr>
                <w:color w:val="000000"/>
              </w:rPr>
              <w:t>-0.59</w:t>
            </w:r>
          </w:p>
        </w:tc>
        <w:tc>
          <w:tcPr>
            <w:tcW w:w="688" w:type="dxa"/>
          </w:tcPr>
          <w:p w14:paraId="422B607E" w14:textId="77777777" w:rsidR="00160F73" w:rsidRPr="002466AC" w:rsidRDefault="00160F73" w:rsidP="00160F73">
            <w:pPr>
              <w:pStyle w:val="Tabledata"/>
              <w:jc w:val="center"/>
              <w:rPr>
                <w:sz w:val="20"/>
                <w:szCs w:val="20"/>
              </w:rPr>
            </w:pPr>
            <w:r>
              <w:rPr>
                <w:color w:val="000000"/>
              </w:rPr>
              <w:t>0.37</w:t>
            </w:r>
          </w:p>
        </w:tc>
        <w:tc>
          <w:tcPr>
            <w:tcW w:w="891" w:type="dxa"/>
          </w:tcPr>
          <w:p w14:paraId="15219CBD" w14:textId="77777777" w:rsidR="00160F73" w:rsidRPr="002466AC" w:rsidRDefault="00160F73" w:rsidP="00160F73">
            <w:pPr>
              <w:pStyle w:val="Tabledata"/>
              <w:jc w:val="center"/>
              <w:rPr>
                <w:sz w:val="20"/>
                <w:szCs w:val="20"/>
              </w:rPr>
            </w:pPr>
            <w:r>
              <w:rPr>
                <w:color w:val="000000"/>
              </w:rPr>
              <w:t>0.37</w:t>
            </w:r>
          </w:p>
        </w:tc>
        <w:tc>
          <w:tcPr>
            <w:tcW w:w="891" w:type="dxa"/>
          </w:tcPr>
          <w:p w14:paraId="4586C5C4" w14:textId="77777777" w:rsidR="00160F73" w:rsidRPr="002466AC" w:rsidRDefault="00160F73" w:rsidP="00160F73">
            <w:pPr>
              <w:pStyle w:val="Tabledata"/>
              <w:jc w:val="center"/>
              <w:rPr>
                <w:sz w:val="20"/>
                <w:szCs w:val="20"/>
              </w:rPr>
            </w:pPr>
            <w:r>
              <w:rPr>
                <w:color w:val="000000"/>
              </w:rPr>
              <w:t>0.37</w:t>
            </w:r>
          </w:p>
        </w:tc>
        <w:tc>
          <w:tcPr>
            <w:tcW w:w="891" w:type="dxa"/>
          </w:tcPr>
          <w:p w14:paraId="5E5DD880" w14:textId="77777777" w:rsidR="00160F73" w:rsidRPr="002466AC" w:rsidRDefault="00160F73" w:rsidP="00160F73">
            <w:pPr>
              <w:pStyle w:val="Tabledata"/>
              <w:jc w:val="center"/>
              <w:rPr>
                <w:sz w:val="20"/>
                <w:szCs w:val="20"/>
              </w:rPr>
            </w:pPr>
            <w:r>
              <w:rPr>
                <w:color w:val="000000"/>
              </w:rPr>
              <w:t>0.37</w:t>
            </w:r>
          </w:p>
        </w:tc>
        <w:tc>
          <w:tcPr>
            <w:tcW w:w="891" w:type="dxa"/>
          </w:tcPr>
          <w:p w14:paraId="5147A0B5" w14:textId="77777777" w:rsidR="00160F73" w:rsidRPr="002466AC" w:rsidRDefault="00160F73" w:rsidP="00160F73">
            <w:pPr>
              <w:pStyle w:val="Tabledata"/>
              <w:jc w:val="center"/>
              <w:rPr>
                <w:sz w:val="20"/>
                <w:szCs w:val="20"/>
              </w:rPr>
            </w:pPr>
            <w:r>
              <w:rPr>
                <w:color w:val="000000"/>
              </w:rPr>
              <w:t>0.37</w:t>
            </w:r>
          </w:p>
        </w:tc>
      </w:tr>
      <w:tr w:rsidR="00160F73" w:rsidRPr="00E64B7E" w14:paraId="1D17B62D" w14:textId="77777777" w:rsidTr="00160F73">
        <w:trPr>
          <w:trHeight w:val="235"/>
        </w:trPr>
        <w:tc>
          <w:tcPr>
            <w:tcW w:w="2830" w:type="dxa"/>
          </w:tcPr>
          <w:p w14:paraId="7B743CF2" w14:textId="77777777" w:rsidR="00160F73" w:rsidRPr="00E64B7E" w:rsidRDefault="00160F73" w:rsidP="00160F73">
            <w:pPr>
              <w:pStyle w:val="Tabledata"/>
            </w:pPr>
            <w:r w:rsidRPr="00E64B7E">
              <w:t xml:space="preserve">Benefit-cost ratio </w:t>
            </w:r>
          </w:p>
        </w:tc>
        <w:tc>
          <w:tcPr>
            <w:tcW w:w="993" w:type="dxa"/>
          </w:tcPr>
          <w:p w14:paraId="35530CE5" w14:textId="77777777" w:rsidR="00160F73" w:rsidRPr="002466AC" w:rsidRDefault="00160F73" w:rsidP="00160F73">
            <w:pPr>
              <w:pStyle w:val="Tabledata"/>
              <w:jc w:val="center"/>
              <w:rPr>
                <w:sz w:val="20"/>
                <w:szCs w:val="20"/>
              </w:rPr>
            </w:pPr>
            <w:r>
              <w:rPr>
                <w:color w:val="000000"/>
              </w:rPr>
              <w:t>0.00</w:t>
            </w:r>
          </w:p>
        </w:tc>
        <w:tc>
          <w:tcPr>
            <w:tcW w:w="992" w:type="dxa"/>
          </w:tcPr>
          <w:p w14:paraId="4E228621" w14:textId="77777777" w:rsidR="00160F73" w:rsidRPr="002466AC" w:rsidRDefault="00160F73" w:rsidP="00160F73">
            <w:pPr>
              <w:pStyle w:val="Tabledata"/>
              <w:jc w:val="center"/>
              <w:rPr>
                <w:sz w:val="20"/>
                <w:szCs w:val="20"/>
              </w:rPr>
            </w:pPr>
            <w:r>
              <w:rPr>
                <w:color w:val="000000"/>
              </w:rPr>
              <w:t>0.66</w:t>
            </w:r>
          </w:p>
        </w:tc>
        <w:tc>
          <w:tcPr>
            <w:tcW w:w="688" w:type="dxa"/>
          </w:tcPr>
          <w:p w14:paraId="1D809122" w14:textId="77777777" w:rsidR="00160F73" w:rsidRPr="002466AC" w:rsidRDefault="00160F73" w:rsidP="00160F73">
            <w:pPr>
              <w:pStyle w:val="Tabledata"/>
              <w:jc w:val="center"/>
              <w:rPr>
                <w:sz w:val="20"/>
                <w:szCs w:val="20"/>
              </w:rPr>
            </w:pPr>
            <w:r>
              <w:rPr>
                <w:color w:val="000000"/>
              </w:rPr>
              <w:t>1.21</w:t>
            </w:r>
          </w:p>
        </w:tc>
        <w:tc>
          <w:tcPr>
            <w:tcW w:w="891" w:type="dxa"/>
          </w:tcPr>
          <w:p w14:paraId="684C8377" w14:textId="77777777" w:rsidR="00160F73" w:rsidRPr="002466AC" w:rsidRDefault="00160F73" w:rsidP="00160F73">
            <w:pPr>
              <w:pStyle w:val="Tabledata"/>
              <w:jc w:val="center"/>
              <w:rPr>
                <w:sz w:val="20"/>
                <w:szCs w:val="20"/>
              </w:rPr>
            </w:pPr>
            <w:r>
              <w:rPr>
                <w:color w:val="000000"/>
              </w:rPr>
              <w:t>1.21</w:t>
            </w:r>
          </w:p>
        </w:tc>
        <w:tc>
          <w:tcPr>
            <w:tcW w:w="891" w:type="dxa"/>
          </w:tcPr>
          <w:p w14:paraId="5A5C5C52" w14:textId="77777777" w:rsidR="00160F73" w:rsidRPr="002466AC" w:rsidRDefault="00160F73" w:rsidP="00160F73">
            <w:pPr>
              <w:pStyle w:val="Tabledata"/>
              <w:jc w:val="center"/>
              <w:rPr>
                <w:sz w:val="20"/>
                <w:szCs w:val="20"/>
              </w:rPr>
            </w:pPr>
            <w:r>
              <w:rPr>
                <w:color w:val="000000"/>
              </w:rPr>
              <w:t>1.21</w:t>
            </w:r>
          </w:p>
        </w:tc>
        <w:tc>
          <w:tcPr>
            <w:tcW w:w="891" w:type="dxa"/>
          </w:tcPr>
          <w:p w14:paraId="244EABCE" w14:textId="77777777" w:rsidR="00160F73" w:rsidRPr="002466AC" w:rsidRDefault="00160F73" w:rsidP="00160F73">
            <w:pPr>
              <w:pStyle w:val="Tabledata"/>
              <w:jc w:val="center"/>
              <w:rPr>
                <w:sz w:val="20"/>
                <w:szCs w:val="20"/>
              </w:rPr>
            </w:pPr>
            <w:r>
              <w:rPr>
                <w:color w:val="000000"/>
              </w:rPr>
              <w:t>1.21</w:t>
            </w:r>
          </w:p>
        </w:tc>
        <w:tc>
          <w:tcPr>
            <w:tcW w:w="891" w:type="dxa"/>
          </w:tcPr>
          <w:p w14:paraId="7921B488" w14:textId="77777777" w:rsidR="00160F73" w:rsidRPr="002466AC" w:rsidRDefault="00160F73" w:rsidP="00160F73">
            <w:pPr>
              <w:pStyle w:val="Tabledata"/>
              <w:jc w:val="center"/>
              <w:rPr>
                <w:sz w:val="20"/>
                <w:szCs w:val="20"/>
              </w:rPr>
            </w:pPr>
            <w:r>
              <w:rPr>
                <w:color w:val="000000"/>
              </w:rPr>
              <w:t>1.21</w:t>
            </w:r>
          </w:p>
        </w:tc>
      </w:tr>
      <w:tr w:rsidR="00160F73" w:rsidRPr="00E64B7E" w14:paraId="57D79BA3" w14:textId="77777777" w:rsidTr="00160F73">
        <w:trPr>
          <w:trHeight w:val="274"/>
        </w:trPr>
        <w:tc>
          <w:tcPr>
            <w:tcW w:w="2830" w:type="dxa"/>
          </w:tcPr>
          <w:p w14:paraId="31B49E10" w14:textId="77777777" w:rsidR="00160F73" w:rsidRPr="00E64B7E" w:rsidRDefault="00160F73" w:rsidP="00160F73">
            <w:pPr>
              <w:pStyle w:val="Tabledata"/>
            </w:pPr>
            <w:r w:rsidRPr="00E64B7E">
              <w:t>Internal rate of return (IRR) (%)</w:t>
            </w:r>
          </w:p>
        </w:tc>
        <w:tc>
          <w:tcPr>
            <w:tcW w:w="993" w:type="dxa"/>
          </w:tcPr>
          <w:p w14:paraId="79208AC0" w14:textId="77777777" w:rsidR="00160F73" w:rsidRPr="002466AC" w:rsidRDefault="00160F73" w:rsidP="00160F73">
            <w:pPr>
              <w:pStyle w:val="Tabledata"/>
              <w:jc w:val="center"/>
              <w:rPr>
                <w:sz w:val="20"/>
                <w:szCs w:val="20"/>
              </w:rPr>
            </w:pPr>
            <w:r>
              <w:rPr>
                <w:color w:val="000000"/>
              </w:rPr>
              <w:t>negative</w:t>
            </w:r>
          </w:p>
        </w:tc>
        <w:tc>
          <w:tcPr>
            <w:tcW w:w="992" w:type="dxa"/>
          </w:tcPr>
          <w:p w14:paraId="7077D7C4" w14:textId="77777777" w:rsidR="00160F73" w:rsidRPr="002466AC" w:rsidRDefault="00160F73" w:rsidP="00160F73">
            <w:pPr>
              <w:pStyle w:val="Tabledata"/>
              <w:jc w:val="center"/>
              <w:rPr>
                <w:sz w:val="20"/>
                <w:szCs w:val="20"/>
              </w:rPr>
            </w:pPr>
            <w:r>
              <w:rPr>
                <w:color w:val="000000"/>
              </w:rPr>
              <w:t>negative</w:t>
            </w:r>
          </w:p>
        </w:tc>
        <w:tc>
          <w:tcPr>
            <w:tcW w:w="688" w:type="dxa"/>
          </w:tcPr>
          <w:p w14:paraId="409D6952" w14:textId="77777777" w:rsidR="00160F73" w:rsidRPr="002466AC" w:rsidRDefault="00160F73" w:rsidP="00160F73">
            <w:pPr>
              <w:pStyle w:val="Tabledata"/>
              <w:jc w:val="center"/>
              <w:rPr>
                <w:sz w:val="20"/>
                <w:szCs w:val="20"/>
              </w:rPr>
            </w:pPr>
            <w:r>
              <w:rPr>
                <w:color w:val="000000"/>
              </w:rPr>
              <w:t>7.67</w:t>
            </w:r>
          </w:p>
        </w:tc>
        <w:tc>
          <w:tcPr>
            <w:tcW w:w="891" w:type="dxa"/>
          </w:tcPr>
          <w:p w14:paraId="71DE5703" w14:textId="77777777" w:rsidR="00160F73" w:rsidRPr="002466AC" w:rsidRDefault="00160F73" w:rsidP="00160F73">
            <w:pPr>
              <w:pStyle w:val="Tabledata"/>
              <w:jc w:val="center"/>
              <w:rPr>
                <w:sz w:val="20"/>
                <w:szCs w:val="20"/>
              </w:rPr>
            </w:pPr>
            <w:r>
              <w:rPr>
                <w:color w:val="000000"/>
              </w:rPr>
              <w:t>7.67</w:t>
            </w:r>
          </w:p>
        </w:tc>
        <w:tc>
          <w:tcPr>
            <w:tcW w:w="891" w:type="dxa"/>
          </w:tcPr>
          <w:p w14:paraId="79BD0154" w14:textId="77777777" w:rsidR="00160F73" w:rsidRPr="002466AC" w:rsidRDefault="00160F73" w:rsidP="00160F73">
            <w:pPr>
              <w:pStyle w:val="Tabledata"/>
              <w:jc w:val="center"/>
              <w:rPr>
                <w:sz w:val="20"/>
                <w:szCs w:val="20"/>
              </w:rPr>
            </w:pPr>
            <w:r>
              <w:rPr>
                <w:color w:val="000000"/>
              </w:rPr>
              <w:t>7.67</w:t>
            </w:r>
          </w:p>
        </w:tc>
        <w:tc>
          <w:tcPr>
            <w:tcW w:w="891" w:type="dxa"/>
          </w:tcPr>
          <w:p w14:paraId="62E8DB70" w14:textId="77777777" w:rsidR="00160F73" w:rsidRPr="002466AC" w:rsidRDefault="00160F73" w:rsidP="00160F73">
            <w:pPr>
              <w:pStyle w:val="Tabledata"/>
              <w:jc w:val="center"/>
              <w:rPr>
                <w:sz w:val="20"/>
                <w:szCs w:val="20"/>
              </w:rPr>
            </w:pPr>
            <w:r>
              <w:rPr>
                <w:color w:val="000000"/>
              </w:rPr>
              <w:t>7.67</w:t>
            </w:r>
          </w:p>
        </w:tc>
        <w:tc>
          <w:tcPr>
            <w:tcW w:w="891" w:type="dxa"/>
          </w:tcPr>
          <w:p w14:paraId="1A37557F" w14:textId="77777777" w:rsidR="00160F73" w:rsidRPr="002466AC" w:rsidRDefault="00160F73" w:rsidP="00160F73">
            <w:pPr>
              <w:pStyle w:val="Tabledata"/>
              <w:jc w:val="center"/>
              <w:rPr>
                <w:sz w:val="20"/>
                <w:szCs w:val="20"/>
              </w:rPr>
            </w:pPr>
            <w:r>
              <w:rPr>
                <w:color w:val="000000"/>
              </w:rPr>
              <w:t>7.67</w:t>
            </w:r>
          </w:p>
        </w:tc>
      </w:tr>
      <w:tr w:rsidR="00160F73" w:rsidRPr="00E64B7E" w14:paraId="6AB8A327" w14:textId="77777777" w:rsidTr="00160F73">
        <w:trPr>
          <w:trHeight w:val="274"/>
        </w:trPr>
        <w:tc>
          <w:tcPr>
            <w:tcW w:w="2830" w:type="dxa"/>
          </w:tcPr>
          <w:p w14:paraId="057AA664" w14:textId="77777777" w:rsidR="00160F73" w:rsidRPr="00E64B7E" w:rsidRDefault="00160F73" w:rsidP="00160F73">
            <w:pPr>
              <w:pStyle w:val="Tabledata"/>
            </w:pPr>
            <w:r w:rsidRPr="00E64B7E">
              <w:t>Modified IRR (%)</w:t>
            </w:r>
          </w:p>
        </w:tc>
        <w:tc>
          <w:tcPr>
            <w:tcW w:w="993" w:type="dxa"/>
          </w:tcPr>
          <w:p w14:paraId="4D4E0C90" w14:textId="77777777" w:rsidR="00160F73" w:rsidRPr="002466AC" w:rsidRDefault="00160F73" w:rsidP="00160F73">
            <w:pPr>
              <w:pStyle w:val="Tabledata"/>
              <w:jc w:val="center"/>
              <w:rPr>
                <w:sz w:val="20"/>
                <w:szCs w:val="20"/>
              </w:rPr>
            </w:pPr>
            <w:r>
              <w:rPr>
                <w:color w:val="000000"/>
              </w:rPr>
              <w:t>negative</w:t>
            </w:r>
          </w:p>
        </w:tc>
        <w:tc>
          <w:tcPr>
            <w:tcW w:w="992" w:type="dxa"/>
          </w:tcPr>
          <w:p w14:paraId="4644E008" w14:textId="77777777" w:rsidR="00160F73" w:rsidRPr="002466AC" w:rsidRDefault="00160F73" w:rsidP="00160F73">
            <w:pPr>
              <w:pStyle w:val="Tabledata"/>
              <w:jc w:val="center"/>
              <w:rPr>
                <w:sz w:val="20"/>
                <w:szCs w:val="20"/>
              </w:rPr>
            </w:pPr>
            <w:r>
              <w:rPr>
                <w:color w:val="000000"/>
              </w:rPr>
              <w:t>negative</w:t>
            </w:r>
          </w:p>
        </w:tc>
        <w:tc>
          <w:tcPr>
            <w:tcW w:w="688" w:type="dxa"/>
          </w:tcPr>
          <w:p w14:paraId="5B536613" w14:textId="77777777" w:rsidR="00160F73" w:rsidRPr="002466AC" w:rsidRDefault="00160F73" w:rsidP="00160F73">
            <w:pPr>
              <w:pStyle w:val="Tabledata"/>
              <w:jc w:val="center"/>
              <w:rPr>
                <w:sz w:val="20"/>
                <w:szCs w:val="20"/>
              </w:rPr>
            </w:pPr>
            <w:r>
              <w:rPr>
                <w:color w:val="000000"/>
              </w:rPr>
              <w:t>5.19</w:t>
            </w:r>
          </w:p>
        </w:tc>
        <w:tc>
          <w:tcPr>
            <w:tcW w:w="891" w:type="dxa"/>
          </w:tcPr>
          <w:p w14:paraId="297FD892" w14:textId="77777777" w:rsidR="00160F73" w:rsidRPr="002466AC" w:rsidRDefault="00160F73" w:rsidP="00160F73">
            <w:pPr>
              <w:pStyle w:val="Tabledata"/>
              <w:jc w:val="center"/>
              <w:rPr>
                <w:sz w:val="20"/>
                <w:szCs w:val="20"/>
              </w:rPr>
            </w:pPr>
            <w:r>
              <w:rPr>
                <w:color w:val="000000"/>
              </w:rPr>
              <w:t>3.43</w:t>
            </w:r>
          </w:p>
        </w:tc>
        <w:tc>
          <w:tcPr>
            <w:tcW w:w="891" w:type="dxa"/>
          </w:tcPr>
          <w:p w14:paraId="28A42192" w14:textId="77777777" w:rsidR="00160F73" w:rsidRPr="002466AC" w:rsidRDefault="00160F73" w:rsidP="00160F73">
            <w:pPr>
              <w:pStyle w:val="Tabledata"/>
              <w:jc w:val="center"/>
              <w:rPr>
                <w:sz w:val="20"/>
                <w:szCs w:val="20"/>
              </w:rPr>
            </w:pPr>
            <w:r>
              <w:rPr>
                <w:color w:val="000000"/>
              </w:rPr>
              <w:t>2.56</w:t>
            </w:r>
          </w:p>
        </w:tc>
        <w:tc>
          <w:tcPr>
            <w:tcW w:w="891" w:type="dxa"/>
          </w:tcPr>
          <w:p w14:paraId="3BA8B149" w14:textId="77777777" w:rsidR="00160F73" w:rsidRPr="002466AC" w:rsidRDefault="00160F73" w:rsidP="00160F73">
            <w:pPr>
              <w:pStyle w:val="Tabledata"/>
              <w:jc w:val="center"/>
              <w:rPr>
                <w:sz w:val="20"/>
                <w:szCs w:val="20"/>
              </w:rPr>
            </w:pPr>
            <w:r>
              <w:rPr>
                <w:color w:val="000000"/>
              </w:rPr>
              <w:t>2.04</w:t>
            </w:r>
          </w:p>
        </w:tc>
        <w:tc>
          <w:tcPr>
            <w:tcW w:w="891" w:type="dxa"/>
          </w:tcPr>
          <w:p w14:paraId="51A60FCA" w14:textId="77777777" w:rsidR="00160F73" w:rsidRPr="002466AC" w:rsidRDefault="00160F73" w:rsidP="00160F73">
            <w:pPr>
              <w:pStyle w:val="Tabledata"/>
              <w:jc w:val="center"/>
              <w:rPr>
                <w:sz w:val="20"/>
                <w:szCs w:val="20"/>
              </w:rPr>
            </w:pPr>
            <w:r>
              <w:rPr>
                <w:color w:val="000000"/>
              </w:rPr>
              <w:t>1.70</w:t>
            </w:r>
          </w:p>
        </w:tc>
      </w:tr>
    </w:tbl>
    <w:p w14:paraId="66513F0A" w14:textId="546AE815" w:rsidR="0024031A" w:rsidRDefault="0024031A" w:rsidP="00160F73">
      <w:pPr>
        <w:pStyle w:val="TableHeading"/>
      </w:pPr>
      <w:r>
        <w:lastRenderedPageBreak/>
        <w:t>Table A8: Investment Criteria for SRA Investment</w:t>
      </w:r>
      <w:r w:rsidR="00160F73">
        <w:t xml:space="preserve"> </w:t>
      </w:r>
      <w:r>
        <w:t>(discount rate 5%)</w:t>
      </w:r>
    </w:p>
    <w:tbl>
      <w:tblPr>
        <w:tblStyle w:val="SRATable"/>
        <w:tblW w:w="9067" w:type="dxa"/>
        <w:tblLayout w:type="fixed"/>
        <w:tblLook w:val="0000" w:firstRow="0" w:lastRow="0" w:firstColumn="0" w:lastColumn="0" w:noHBand="0" w:noVBand="0"/>
      </w:tblPr>
      <w:tblGrid>
        <w:gridCol w:w="2830"/>
        <w:gridCol w:w="993"/>
        <w:gridCol w:w="992"/>
        <w:gridCol w:w="609"/>
        <w:gridCol w:w="911"/>
        <w:gridCol w:w="910"/>
        <w:gridCol w:w="911"/>
        <w:gridCol w:w="911"/>
      </w:tblGrid>
      <w:tr w:rsidR="00160F73" w:rsidRPr="00E64B7E" w14:paraId="61C888D0" w14:textId="77777777" w:rsidTr="009E7CC2">
        <w:trPr>
          <w:trHeight w:val="247"/>
        </w:trPr>
        <w:tc>
          <w:tcPr>
            <w:tcW w:w="2830" w:type="dxa"/>
            <w:vMerge w:val="restart"/>
            <w:shd w:val="clear" w:color="auto" w:fill="CBDCE0"/>
          </w:tcPr>
          <w:p w14:paraId="6655DDDA" w14:textId="164B54A1" w:rsidR="00160F73" w:rsidRPr="00E64B7E" w:rsidRDefault="00160F73" w:rsidP="00160F73">
            <w:pPr>
              <w:pStyle w:val="TableDataHeading"/>
            </w:pPr>
            <w:r w:rsidRPr="00E64B7E">
              <w:t>Investment Criteria</w:t>
            </w:r>
          </w:p>
        </w:tc>
        <w:tc>
          <w:tcPr>
            <w:tcW w:w="6237" w:type="dxa"/>
            <w:gridSpan w:val="7"/>
            <w:shd w:val="clear" w:color="auto" w:fill="CBDCE0"/>
          </w:tcPr>
          <w:p w14:paraId="072CEE8F" w14:textId="77777777" w:rsidR="00160F73" w:rsidRPr="00E64B7E" w:rsidRDefault="00160F73" w:rsidP="009E7CC2">
            <w:pPr>
              <w:pStyle w:val="TableDataHeading"/>
              <w:jc w:val="center"/>
            </w:pPr>
            <w:r w:rsidRPr="00E64B7E">
              <w:t>Years from last year of investment</w:t>
            </w:r>
          </w:p>
        </w:tc>
      </w:tr>
      <w:tr w:rsidR="00160F73" w:rsidRPr="00E64B7E" w14:paraId="124D4C24" w14:textId="77777777" w:rsidTr="00160F73">
        <w:trPr>
          <w:trHeight w:val="247"/>
        </w:trPr>
        <w:tc>
          <w:tcPr>
            <w:tcW w:w="2830" w:type="dxa"/>
            <w:vMerge/>
          </w:tcPr>
          <w:p w14:paraId="65357B7C" w14:textId="77777777" w:rsidR="00160F73" w:rsidRPr="00E64B7E" w:rsidRDefault="00160F73" w:rsidP="00160F73">
            <w:pPr>
              <w:pStyle w:val="TableDataHeading"/>
            </w:pPr>
          </w:p>
        </w:tc>
        <w:tc>
          <w:tcPr>
            <w:tcW w:w="993" w:type="dxa"/>
          </w:tcPr>
          <w:p w14:paraId="4FCF41C7" w14:textId="77777777" w:rsidR="00160F73" w:rsidRPr="00E64B7E" w:rsidRDefault="00160F73" w:rsidP="00160F73">
            <w:pPr>
              <w:pStyle w:val="TableDataHeading"/>
              <w:jc w:val="center"/>
            </w:pPr>
            <w:r w:rsidRPr="00E64B7E">
              <w:t>0</w:t>
            </w:r>
          </w:p>
        </w:tc>
        <w:tc>
          <w:tcPr>
            <w:tcW w:w="992" w:type="dxa"/>
          </w:tcPr>
          <w:p w14:paraId="5D1B4130" w14:textId="77777777" w:rsidR="00160F73" w:rsidRPr="00E64B7E" w:rsidRDefault="00160F73" w:rsidP="00160F73">
            <w:pPr>
              <w:pStyle w:val="TableDataHeading"/>
              <w:jc w:val="center"/>
            </w:pPr>
            <w:r w:rsidRPr="00E64B7E">
              <w:t>5</w:t>
            </w:r>
          </w:p>
        </w:tc>
        <w:tc>
          <w:tcPr>
            <w:tcW w:w="609" w:type="dxa"/>
          </w:tcPr>
          <w:p w14:paraId="79A0BCBB" w14:textId="77777777" w:rsidR="00160F73" w:rsidRPr="00E64B7E" w:rsidRDefault="00160F73" w:rsidP="00160F73">
            <w:pPr>
              <w:pStyle w:val="TableDataHeading"/>
              <w:jc w:val="center"/>
            </w:pPr>
            <w:r w:rsidRPr="00E64B7E">
              <w:t>10</w:t>
            </w:r>
          </w:p>
        </w:tc>
        <w:tc>
          <w:tcPr>
            <w:tcW w:w="911" w:type="dxa"/>
          </w:tcPr>
          <w:p w14:paraId="26753A29" w14:textId="77777777" w:rsidR="00160F73" w:rsidRPr="00E64B7E" w:rsidRDefault="00160F73" w:rsidP="00160F73">
            <w:pPr>
              <w:pStyle w:val="TableDataHeading"/>
              <w:jc w:val="center"/>
            </w:pPr>
            <w:r w:rsidRPr="00E64B7E">
              <w:t>15</w:t>
            </w:r>
          </w:p>
        </w:tc>
        <w:tc>
          <w:tcPr>
            <w:tcW w:w="910" w:type="dxa"/>
          </w:tcPr>
          <w:p w14:paraId="7A4503D8" w14:textId="77777777" w:rsidR="00160F73" w:rsidRPr="00E64B7E" w:rsidRDefault="00160F73" w:rsidP="00160F73">
            <w:pPr>
              <w:pStyle w:val="TableDataHeading"/>
              <w:jc w:val="center"/>
            </w:pPr>
            <w:r w:rsidRPr="00E64B7E">
              <w:t>20</w:t>
            </w:r>
          </w:p>
        </w:tc>
        <w:tc>
          <w:tcPr>
            <w:tcW w:w="911" w:type="dxa"/>
          </w:tcPr>
          <w:p w14:paraId="44B16436" w14:textId="77777777" w:rsidR="00160F73" w:rsidRPr="00E64B7E" w:rsidRDefault="00160F73" w:rsidP="00160F73">
            <w:pPr>
              <w:pStyle w:val="TableDataHeading"/>
              <w:jc w:val="center"/>
            </w:pPr>
            <w:r w:rsidRPr="00E64B7E">
              <w:t>25</w:t>
            </w:r>
          </w:p>
        </w:tc>
        <w:tc>
          <w:tcPr>
            <w:tcW w:w="911" w:type="dxa"/>
          </w:tcPr>
          <w:p w14:paraId="645E5770" w14:textId="77777777" w:rsidR="00160F73" w:rsidRPr="00E64B7E" w:rsidRDefault="00160F73" w:rsidP="00160F73">
            <w:pPr>
              <w:pStyle w:val="TableDataHeading"/>
              <w:jc w:val="center"/>
            </w:pPr>
            <w:r w:rsidRPr="00E64B7E">
              <w:t>30</w:t>
            </w:r>
          </w:p>
        </w:tc>
      </w:tr>
      <w:tr w:rsidR="00160F73" w:rsidRPr="00E64B7E" w14:paraId="23D75F4E" w14:textId="77777777" w:rsidTr="00160F73">
        <w:trPr>
          <w:trHeight w:val="247"/>
        </w:trPr>
        <w:tc>
          <w:tcPr>
            <w:tcW w:w="2830" w:type="dxa"/>
          </w:tcPr>
          <w:p w14:paraId="3A6EBC7F" w14:textId="77777777" w:rsidR="00160F73" w:rsidRPr="00E64B7E" w:rsidRDefault="00160F73" w:rsidP="00160F73">
            <w:pPr>
              <w:pStyle w:val="Tabledata"/>
            </w:pPr>
            <w:r w:rsidRPr="00E64B7E">
              <w:t>Present value of benefits ($</w:t>
            </w:r>
            <w:r>
              <w:t>m</w:t>
            </w:r>
            <w:r w:rsidRPr="00E64B7E">
              <w:t>)</w:t>
            </w:r>
          </w:p>
        </w:tc>
        <w:tc>
          <w:tcPr>
            <w:tcW w:w="993" w:type="dxa"/>
          </w:tcPr>
          <w:p w14:paraId="45422F8D" w14:textId="77777777" w:rsidR="00160F73" w:rsidRPr="002466AC" w:rsidRDefault="00160F73" w:rsidP="00160F73">
            <w:pPr>
              <w:pStyle w:val="Tabledata"/>
              <w:jc w:val="center"/>
              <w:rPr>
                <w:sz w:val="20"/>
                <w:szCs w:val="20"/>
              </w:rPr>
            </w:pPr>
            <w:r>
              <w:rPr>
                <w:color w:val="000000"/>
              </w:rPr>
              <w:t>0.00</w:t>
            </w:r>
          </w:p>
        </w:tc>
        <w:tc>
          <w:tcPr>
            <w:tcW w:w="992" w:type="dxa"/>
          </w:tcPr>
          <w:p w14:paraId="1726FEC7" w14:textId="77777777" w:rsidR="00160F73" w:rsidRPr="002466AC" w:rsidRDefault="00160F73" w:rsidP="00160F73">
            <w:pPr>
              <w:pStyle w:val="Tabledata"/>
              <w:jc w:val="center"/>
              <w:rPr>
                <w:sz w:val="20"/>
                <w:szCs w:val="20"/>
              </w:rPr>
            </w:pPr>
            <w:r>
              <w:rPr>
                <w:color w:val="000000"/>
              </w:rPr>
              <w:t>0.33</w:t>
            </w:r>
          </w:p>
        </w:tc>
        <w:tc>
          <w:tcPr>
            <w:tcW w:w="609" w:type="dxa"/>
          </w:tcPr>
          <w:p w14:paraId="4E08E7DE" w14:textId="77777777" w:rsidR="00160F73" w:rsidRPr="002466AC" w:rsidRDefault="00160F73" w:rsidP="00160F73">
            <w:pPr>
              <w:pStyle w:val="Tabledata"/>
              <w:jc w:val="center"/>
              <w:rPr>
                <w:sz w:val="20"/>
                <w:szCs w:val="20"/>
              </w:rPr>
            </w:pPr>
            <w:r>
              <w:rPr>
                <w:color w:val="000000"/>
              </w:rPr>
              <w:t>0.61</w:t>
            </w:r>
          </w:p>
        </w:tc>
        <w:tc>
          <w:tcPr>
            <w:tcW w:w="911" w:type="dxa"/>
          </w:tcPr>
          <w:p w14:paraId="46B405BE" w14:textId="77777777" w:rsidR="00160F73" w:rsidRPr="002466AC" w:rsidRDefault="00160F73" w:rsidP="00160F73">
            <w:pPr>
              <w:pStyle w:val="Tabledata"/>
              <w:jc w:val="center"/>
              <w:rPr>
                <w:sz w:val="20"/>
                <w:szCs w:val="20"/>
              </w:rPr>
            </w:pPr>
            <w:r>
              <w:rPr>
                <w:color w:val="000000"/>
              </w:rPr>
              <w:t>0.61</w:t>
            </w:r>
          </w:p>
        </w:tc>
        <w:tc>
          <w:tcPr>
            <w:tcW w:w="910" w:type="dxa"/>
          </w:tcPr>
          <w:p w14:paraId="034D188D" w14:textId="77777777" w:rsidR="00160F73" w:rsidRPr="002466AC" w:rsidRDefault="00160F73" w:rsidP="00160F73">
            <w:pPr>
              <w:pStyle w:val="Tabledata"/>
              <w:jc w:val="center"/>
              <w:rPr>
                <w:sz w:val="20"/>
                <w:szCs w:val="20"/>
              </w:rPr>
            </w:pPr>
            <w:r>
              <w:rPr>
                <w:color w:val="000000"/>
              </w:rPr>
              <w:t>0.61</w:t>
            </w:r>
          </w:p>
        </w:tc>
        <w:tc>
          <w:tcPr>
            <w:tcW w:w="911" w:type="dxa"/>
          </w:tcPr>
          <w:p w14:paraId="3FB39A7C" w14:textId="77777777" w:rsidR="00160F73" w:rsidRPr="002466AC" w:rsidRDefault="00160F73" w:rsidP="00160F73">
            <w:pPr>
              <w:pStyle w:val="Tabledata"/>
              <w:jc w:val="center"/>
              <w:rPr>
                <w:sz w:val="20"/>
                <w:szCs w:val="20"/>
              </w:rPr>
            </w:pPr>
            <w:r>
              <w:rPr>
                <w:color w:val="000000"/>
              </w:rPr>
              <w:t>0.61</w:t>
            </w:r>
          </w:p>
        </w:tc>
        <w:tc>
          <w:tcPr>
            <w:tcW w:w="911" w:type="dxa"/>
          </w:tcPr>
          <w:p w14:paraId="683A68E7" w14:textId="77777777" w:rsidR="00160F73" w:rsidRPr="002466AC" w:rsidRDefault="00160F73" w:rsidP="00160F73">
            <w:pPr>
              <w:pStyle w:val="Tabledata"/>
              <w:jc w:val="center"/>
              <w:rPr>
                <w:sz w:val="20"/>
                <w:szCs w:val="20"/>
              </w:rPr>
            </w:pPr>
            <w:r>
              <w:rPr>
                <w:color w:val="000000"/>
              </w:rPr>
              <w:t>0.61</w:t>
            </w:r>
          </w:p>
        </w:tc>
      </w:tr>
      <w:tr w:rsidR="00160F73" w:rsidRPr="00E64B7E" w14:paraId="38AD3AC1" w14:textId="77777777" w:rsidTr="00160F73">
        <w:trPr>
          <w:trHeight w:val="247"/>
        </w:trPr>
        <w:tc>
          <w:tcPr>
            <w:tcW w:w="2830" w:type="dxa"/>
          </w:tcPr>
          <w:p w14:paraId="186FF0B4" w14:textId="77777777" w:rsidR="00160F73" w:rsidRPr="00E64B7E" w:rsidRDefault="00160F73" w:rsidP="00160F73">
            <w:pPr>
              <w:pStyle w:val="Tabledata"/>
            </w:pPr>
            <w:r w:rsidRPr="00E64B7E">
              <w:t>Present value of costs ($</w:t>
            </w:r>
            <w:r>
              <w:t>m</w:t>
            </w:r>
            <w:r w:rsidRPr="00E64B7E">
              <w:t>)</w:t>
            </w:r>
          </w:p>
        </w:tc>
        <w:tc>
          <w:tcPr>
            <w:tcW w:w="993" w:type="dxa"/>
          </w:tcPr>
          <w:p w14:paraId="1971FA2A" w14:textId="77777777" w:rsidR="00160F73" w:rsidRPr="002466AC" w:rsidRDefault="00160F73" w:rsidP="00160F73">
            <w:pPr>
              <w:pStyle w:val="Tabledata"/>
              <w:jc w:val="center"/>
              <w:rPr>
                <w:sz w:val="20"/>
                <w:szCs w:val="20"/>
              </w:rPr>
            </w:pPr>
            <w:r>
              <w:rPr>
                <w:color w:val="000000"/>
              </w:rPr>
              <w:t>0.50</w:t>
            </w:r>
          </w:p>
        </w:tc>
        <w:tc>
          <w:tcPr>
            <w:tcW w:w="992" w:type="dxa"/>
          </w:tcPr>
          <w:p w14:paraId="4496EFC1" w14:textId="77777777" w:rsidR="00160F73" w:rsidRPr="002466AC" w:rsidRDefault="00160F73" w:rsidP="00160F73">
            <w:pPr>
              <w:pStyle w:val="Tabledata"/>
              <w:jc w:val="center"/>
              <w:rPr>
                <w:sz w:val="20"/>
                <w:szCs w:val="20"/>
              </w:rPr>
            </w:pPr>
            <w:r>
              <w:rPr>
                <w:color w:val="000000"/>
              </w:rPr>
              <w:t>0.50</w:t>
            </w:r>
          </w:p>
        </w:tc>
        <w:tc>
          <w:tcPr>
            <w:tcW w:w="609" w:type="dxa"/>
          </w:tcPr>
          <w:p w14:paraId="6D78986D" w14:textId="77777777" w:rsidR="00160F73" w:rsidRPr="002466AC" w:rsidRDefault="00160F73" w:rsidP="00160F73">
            <w:pPr>
              <w:pStyle w:val="Tabledata"/>
              <w:jc w:val="center"/>
              <w:rPr>
                <w:sz w:val="20"/>
                <w:szCs w:val="20"/>
              </w:rPr>
            </w:pPr>
            <w:r>
              <w:rPr>
                <w:color w:val="000000"/>
              </w:rPr>
              <w:t>0.50</w:t>
            </w:r>
          </w:p>
        </w:tc>
        <w:tc>
          <w:tcPr>
            <w:tcW w:w="911" w:type="dxa"/>
          </w:tcPr>
          <w:p w14:paraId="467C7B38" w14:textId="77777777" w:rsidR="00160F73" w:rsidRPr="002466AC" w:rsidRDefault="00160F73" w:rsidP="00160F73">
            <w:pPr>
              <w:pStyle w:val="Tabledata"/>
              <w:jc w:val="center"/>
              <w:rPr>
                <w:sz w:val="20"/>
                <w:szCs w:val="20"/>
              </w:rPr>
            </w:pPr>
            <w:r>
              <w:rPr>
                <w:color w:val="000000"/>
              </w:rPr>
              <w:t>0.50</w:t>
            </w:r>
          </w:p>
        </w:tc>
        <w:tc>
          <w:tcPr>
            <w:tcW w:w="910" w:type="dxa"/>
          </w:tcPr>
          <w:p w14:paraId="308FE34B" w14:textId="77777777" w:rsidR="00160F73" w:rsidRPr="002466AC" w:rsidRDefault="00160F73" w:rsidP="00160F73">
            <w:pPr>
              <w:pStyle w:val="Tabledata"/>
              <w:jc w:val="center"/>
              <w:rPr>
                <w:sz w:val="20"/>
                <w:szCs w:val="20"/>
              </w:rPr>
            </w:pPr>
            <w:r>
              <w:rPr>
                <w:color w:val="000000"/>
              </w:rPr>
              <w:t>0.50</w:t>
            </w:r>
          </w:p>
        </w:tc>
        <w:tc>
          <w:tcPr>
            <w:tcW w:w="911" w:type="dxa"/>
          </w:tcPr>
          <w:p w14:paraId="1B0F86D2" w14:textId="77777777" w:rsidR="00160F73" w:rsidRPr="002466AC" w:rsidRDefault="00160F73" w:rsidP="00160F73">
            <w:pPr>
              <w:pStyle w:val="Tabledata"/>
              <w:jc w:val="center"/>
              <w:rPr>
                <w:sz w:val="20"/>
                <w:szCs w:val="20"/>
              </w:rPr>
            </w:pPr>
            <w:r>
              <w:rPr>
                <w:color w:val="000000"/>
              </w:rPr>
              <w:t>0.50</w:t>
            </w:r>
          </w:p>
        </w:tc>
        <w:tc>
          <w:tcPr>
            <w:tcW w:w="911" w:type="dxa"/>
          </w:tcPr>
          <w:p w14:paraId="3DB3E036" w14:textId="77777777" w:rsidR="00160F73" w:rsidRPr="002466AC" w:rsidRDefault="00160F73" w:rsidP="00160F73">
            <w:pPr>
              <w:pStyle w:val="Tabledata"/>
              <w:jc w:val="center"/>
              <w:rPr>
                <w:sz w:val="20"/>
                <w:szCs w:val="20"/>
              </w:rPr>
            </w:pPr>
            <w:r>
              <w:rPr>
                <w:color w:val="000000"/>
              </w:rPr>
              <w:t>0.50</w:t>
            </w:r>
          </w:p>
        </w:tc>
      </w:tr>
      <w:tr w:rsidR="00160F73" w:rsidRPr="00E64B7E" w14:paraId="53496289" w14:textId="77777777" w:rsidTr="00160F73">
        <w:trPr>
          <w:trHeight w:val="247"/>
        </w:trPr>
        <w:tc>
          <w:tcPr>
            <w:tcW w:w="2830" w:type="dxa"/>
          </w:tcPr>
          <w:p w14:paraId="68B3CE5C" w14:textId="77777777" w:rsidR="00160F73" w:rsidRPr="00E64B7E" w:rsidRDefault="00160F73" w:rsidP="00160F73">
            <w:pPr>
              <w:pStyle w:val="Tabledata"/>
            </w:pPr>
            <w:r w:rsidRPr="00E64B7E">
              <w:t>Net present value ($</w:t>
            </w:r>
            <w:r>
              <w:t>m</w:t>
            </w:r>
            <w:r w:rsidRPr="00E64B7E">
              <w:t>)</w:t>
            </w:r>
          </w:p>
        </w:tc>
        <w:tc>
          <w:tcPr>
            <w:tcW w:w="993" w:type="dxa"/>
          </w:tcPr>
          <w:p w14:paraId="55008DDD" w14:textId="77777777" w:rsidR="00160F73" w:rsidRPr="002466AC" w:rsidRDefault="00160F73" w:rsidP="00160F73">
            <w:pPr>
              <w:pStyle w:val="Tabledata"/>
              <w:jc w:val="center"/>
              <w:rPr>
                <w:sz w:val="20"/>
                <w:szCs w:val="20"/>
              </w:rPr>
            </w:pPr>
            <w:r>
              <w:rPr>
                <w:color w:val="000000"/>
              </w:rPr>
              <w:t>-0.50</w:t>
            </w:r>
          </w:p>
        </w:tc>
        <w:tc>
          <w:tcPr>
            <w:tcW w:w="992" w:type="dxa"/>
          </w:tcPr>
          <w:p w14:paraId="114F4D73" w14:textId="77777777" w:rsidR="00160F73" w:rsidRPr="002466AC" w:rsidRDefault="00160F73" w:rsidP="00160F73">
            <w:pPr>
              <w:pStyle w:val="Tabledata"/>
              <w:jc w:val="center"/>
              <w:rPr>
                <w:sz w:val="20"/>
                <w:szCs w:val="20"/>
              </w:rPr>
            </w:pPr>
            <w:r>
              <w:rPr>
                <w:color w:val="000000"/>
              </w:rPr>
              <w:t>-0.17</w:t>
            </w:r>
          </w:p>
        </w:tc>
        <w:tc>
          <w:tcPr>
            <w:tcW w:w="609" w:type="dxa"/>
          </w:tcPr>
          <w:p w14:paraId="2A5AF96A" w14:textId="77777777" w:rsidR="00160F73" w:rsidRPr="002466AC" w:rsidRDefault="00160F73" w:rsidP="00160F73">
            <w:pPr>
              <w:pStyle w:val="Tabledata"/>
              <w:jc w:val="center"/>
              <w:rPr>
                <w:sz w:val="20"/>
                <w:szCs w:val="20"/>
              </w:rPr>
            </w:pPr>
            <w:r>
              <w:rPr>
                <w:color w:val="000000"/>
              </w:rPr>
              <w:t>0.11</w:t>
            </w:r>
          </w:p>
        </w:tc>
        <w:tc>
          <w:tcPr>
            <w:tcW w:w="911" w:type="dxa"/>
          </w:tcPr>
          <w:p w14:paraId="7F1F19AA" w14:textId="77777777" w:rsidR="00160F73" w:rsidRPr="002466AC" w:rsidRDefault="00160F73" w:rsidP="00160F73">
            <w:pPr>
              <w:pStyle w:val="Tabledata"/>
              <w:jc w:val="center"/>
              <w:rPr>
                <w:sz w:val="20"/>
                <w:szCs w:val="20"/>
              </w:rPr>
            </w:pPr>
            <w:r>
              <w:rPr>
                <w:color w:val="000000"/>
              </w:rPr>
              <w:t>0.11</w:t>
            </w:r>
          </w:p>
        </w:tc>
        <w:tc>
          <w:tcPr>
            <w:tcW w:w="910" w:type="dxa"/>
          </w:tcPr>
          <w:p w14:paraId="67289DDE" w14:textId="77777777" w:rsidR="00160F73" w:rsidRPr="002466AC" w:rsidRDefault="00160F73" w:rsidP="00160F73">
            <w:pPr>
              <w:pStyle w:val="Tabledata"/>
              <w:jc w:val="center"/>
              <w:rPr>
                <w:sz w:val="20"/>
                <w:szCs w:val="20"/>
              </w:rPr>
            </w:pPr>
            <w:r>
              <w:rPr>
                <w:color w:val="000000"/>
              </w:rPr>
              <w:t>0.11</w:t>
            </w:r>
          </w:p>
        </w:tc>
        <w:tc>
          <w:tcPr>
            <w:tcW w:w="911" w:type="dxa"/>
          </w:tcPr>
          <w:p w14:paraId="1C3D4B75" w14:textId="77777777" w:rsidR="00160F73" w:rsidRPr="002466AC" w:rsidRDefault="00160F73" w:rsidP="00160F73">
            <w:pPr>
              <w:pStyle w:val="Tabledata"/>
              <w:jc w:val="center"/>
              <w:rPr>
                <w:sz w:val="20"/>
                <w:szCs w:val="20"/>
              </w:rPr>
            </w:pPr>
            <w:r>
              <w:rPr>
                <w:color w:val="000000"/>
              </w:rPr>
              <w:t>0.11</w:t>
            </w:r>
          </w:p>
        </w:tc>
        <w:tc>
          <w:tcPr>
            <w:tcW w:w="911" w:type="dxa"/>
          </w:tcPr>
          <w:p w14:paraId="76847A01" w14:textId="77777777" w:rsidR="00160F73" w:rsidRPr="002466AC" w:rsidRDefault="00160F73" w:rsidP="00160F73">
            <w:pPr>
              <w:pStyle w:val="Tabledata"/>
              <w:jc w:val="center"/>
              <w:rPr>
                <w:sz w:val="20"/>
                <w:szCs w:val="20"/>
              </w:rPr>
            </w:pPr>
            <w:r>
              <w:rPr>
                <w:color w:val="000000"/>
              </w:rPr>
              <w:t>0.11</w:t>
            </w:r>
          </w:p>
        </w:tc>
      </w:tr>
      <w:tr w:rsidR="00160F73" w:rsidRPr="00E64B7E" w14:paraId="467F5D81" w14:textId="77777777" w:rsidTr="00160F73">
        <w:trPr>
          <w:trHeight w:val="235"/>
        </w:trPr>
        <w:tc>
          <w:tcPr>
            <w:tcW w:w="2830" w:type="dxa"/>
          </w:tcPr>
          <w:p w14:paraId="41560A72" w14:textId="77777777" w:rsidR="00160F73" w:rsidRPr="00E64B7E" w:rsidRDefault="00160F73" w:rsidP="00160F73">
            <w:pPr>
              <w:pStyle w:val="Tabledata"/>
            </w:pPr>
            <w:r w:rsidRPr="00E64B7E">
              <w:t xml:space="preserve">Benefit-cost ratio </w:t>
            </w:r>
          </w:p>
        </w:tc>
        <w:tc>
          <w:tcPr>
            <w:tcW w:w="993" w:type="dxa"/>
          </w:tcPr>
          <w:p w14:paraId="1CDB87BD" w14:textId="77777777" w:rsidR="00160F73" w:rsidRPr="002466AC" w:rsidRDefault="00160F73" w:rsidP="00160F73">
            <w:pPr>
              <w:pStyle w:val="Tabledata"/>
              <w:jc w:val="center"/>
              <w:rPr>
                <w:sz w:val="20"/>
                <w:szCs w:val="20"/>
              </w:rPr>
            </w:pPr>
            <w:r>
              <w:rPr>
                <w:color w:val="000000"/>
              </w:rPr>
              <w:t>0.00</w:t>
            </w:r>
          </w:p>
        </w:tc>
        <w:tc>
          <w:tcPr>
            <w:tcW w:w="992" w:type="dxa"/>
          </w:tcPr>
          <w:p w14:paraId="2CF32CB6" w14:textId="77777777" w:rsidR="00160F73" w:rsidRPr="002466AC" w:rsidRDefault="00160F73" w:rsidP="00160F73">
            <w:pPr>
              <w:pStyle w:val="Tabledata"/>
              <w:jc w:val="center"/>
              <w:rPr>
                <w:sz w:val="20"/>
                <w:szCs w:val="20"/>
              </w:rPr>
            </w:pPr>
            <w:r>
              <w:rPr>
                <w:color w:val="000000"/>
              </w:rPr>
              <w:t>0.66</w:t>
            </w:r>
          </w:p>
        </w:tc>
        <w:tc>
          <w:tcPr>
            <w:tcW w:w="609" w:type="dxa"/>
          </w:tcPr>
          <w:p w14:paraId="08070DCC" w14:textId="77777777" w:rsidR="00160F73" w:rsidRPr="002466AC" w:rsidRDefault="00160F73" w:rsidP="00160F73">
            <w:pPr>
              <w:pStyle w:val="Tabledata"/>
              <w:jc w:val="center"/>
              <w:rPr>
                <w:sz w:val="20"/>
                <w:szCs w:val="20"/>
              </w:rPr>
            </w:pPr>
            <w:r>
              <w:rPr>
                <w:color w:val="000000"/>
              </w:rPr>
              <w:t>1.21</w:t>
            </w:r>
          </w:p>
        </w:tc>
        <w:tc>
          <w:tcPr>
            <w:tcW w:w="911" w:type="dxa"/>
          </w:tcPr>
          <w:p w14:paraId="11A9101F" w14:textId="77777777" w:rsidR="00160F73" w:rsidRPr="002466AC" w:rsidRDefault="00160F73" w:rsidP="00160F73">
            <w:pPr>
              <w:pStyle w:val="Tabledata"/>
              <w:jc w:val="center"/>
              <w:rPr>
                <w:sz w:val="20"/>
                <w:szCs w:val="20"/>
              </w:rPr>
            </w:pPr>
            <w:r>
              <w:rPr>
                <w:color w:val="000000"/>
              </w:rPr>
              <w:t>1.21</w:t>
            </w:r>
          </w:p>
        </w:tc>
        <w:tc>
          <w:tcPr>
            <w:tcW w:w="910" w:type="dxa"/>
          </w:tcPr>
          <w:p w14:paraId="1DDC33E7" w14:textId="77777777" w:rsidR="00160F73" w:rsidRPr="002466AC" w:rsidRDefault="00160F73" w:rsidP="00160F73">
            <w:pPr>
              <w:pStyle w:val="Tabledata"/>
              <w:jc w:val="center"/>
              <w:rPr>
                <w:sz w:val="20"/>
                <w:szCs w:val="20"/>
              </w:rPr>
            </w:pPr>
            <w:r>
              <w:rPr>
                <w:color w:val="000000"/>
              </w:rPr>
              <w:t>1.21</w:t>
            </w:r>
          </w:p>
        </w:tc>
        <w:tc>
          <w:tcPr>
            <w:tcW w:w="911" w:type="dxa"/>
          </w:tcPr>
          <w:p w14:paraId="23BFF911" w14:textId="77777777" w:rsidR="00160F73" w:rsidRPr="002466AC" w:rsidRDefault="00160F73" w:rsidP="00160F73">
            <w:pPr>
              <w:pStyle w:val="Tabledata"/>
              <w:jc w:val="center"/>
              <w:rPr>
                <w:sz w:val="20"/>
                <w:szCs w:val="20"/>
              </w:rPr>
            </w:pPr>
            <w:r>
              <w:rPr>
                <w:color w:val="000000"/>
              </w:rPr>
              <w:t>1.21</w:t>
            </w:r>
          </w:p>
        </w:tc>
        <w:tc>
          <w:tcPr>
            <w:tcW w:w="911" w:type="dxa"/>
          </w:tcPr>
          <w:p w14:paraId="16C2B3FB" w14:textId="77777777" w:rsidR="00160F73" w:rsidRPr="002466AC" w:rsidRDefault="00160F73" w:rsidP="00160F73">
            <w:pPr>
              <w:pStyle w:val="Tabledata"/>
              <w:jc w:val="center"/>
              <w:rPr>
                <w:sz w:val="20"/>
                <w:szCs w:val="20"/>
              </w:rPr>
            </w:pPr>
            <w:r>
              <w:rPr>
                <w:color w:val="000000"/>
              </w:rPr>
              <w:t>1.21</w:t>
            </w:r>
          </w:p>
        </w:tc>
      </w:tr>
      <w:tr w:rsidR="00160F73" w:rsidRPr="00E64B7E" w14:paraId="3D747EBC" w14:textId="77777777" w:rsidTr="00160F73">
        <w:trPr>
          <w:trHeight w:val="274"/>
        </w:trPr>
        <w:tc>
          <w:tcPr>
            <w:tcW w:w="2830" w:type="dxa"/>
          </w:tcPr>
          <w:p w14:paraId="1F32F5FB" w14:textId="77777777" w:rsidR="00160F73" w:rsidRPr="00E64B7E" w:rsidRDefault="00160F73" w:rsidP="00160F73">
            <w:pPr>
              <w:pStyle w:val="Tabledata"/>
            </w:pPr>
            <w:r w:rsidRPr="00E64B7E">
              <w:t>Internal rate of return (IRR) (%)</w:t>
            </w:r>
          </w:p>
        </w:tc>
        <w:tc>
          <w:tcPr>
            <w:tcW w:w="993" w:type="dxa"/>
          </w:tcPr>
          <w:p w14:paraId="0113690B" w14:textId="77777777" w:rsidR="00160F73" w:rsidRPr="002466AC" w:rsidRDefault="00160F73" w:rsidP="00160F73">
            <w:pPr>
              <w:pStyle w:val="Tabledata"/>
              <w:jc w:val="center"/>
              <w:rPr>
                <w:sz w:val="20"/>
                <w:szCs w:val="20"/>
              </w:rPr>
            </w:pPr>
            <w:r>
              <w:rPr>
                <w:color w:val="000000"/>
              </w:rPr>
              <w:t>negative</w:t>
            </w:r>
          </w:p>
        </w:tc>
        <w:tc>
          <w:tcPr>
            <w:tcW w:w="992" w:type="dxa"/>
          </w:tcPr>
          <w:p w14:paraId="60B169B7" w14:textId="77777777" w:rsidR="00160F73" w:rsidRPr="002466AC" w:rsidRDefault="00160F73" w:rsidP="00160F73">
            <w:pPr>
              <w:pStyle w:val="Tabledata"/>
              <w:jc w:val="center"/>
              <w:rPr>
                <w:sz w:val="20"/>
                <w:szCs w:val="20"/>
              </w:rPr>
            </w:pPr>
            <w:r>
              <w:rPr>
                <w:color w:val="000000"/>
              </w:rPr>
              <w:t>negative</w:t>
            </w:r>
          </w:p>
        </w:tc>
        <w:tc>
          <w:tcPr>
            <w:tcW w:w="609" w:type="dxa"/>
          </w:tcPr>
          <w:p w14:paraId="11317D75" w14:textId="77777777" w:rsidR="00160F73" w:rsidRPr="002466AC" w:rsidRDefault="00160F73" w:rsidP="00160F73">
            <w:pPr>
              <w:pStyle w:val="Tabledata"/>
              <w:jc w:val="center"/>
            </w:pPr>
            <w:r>
              <w:rPr>
                <w:color w:val="000000"/>
              </w:rPr>
              <w:t>7.67</w:t>
            </w:r>
          </w:p>
        </w:tc>
        <w:tc>
          <w:tcPr>
            <w:tcW w:w="911" w:type="dxa"/>
          </w:tcPr>
          <w:p w14:paraId="32A6A6A1" w14:textId="77777777" w:rsidR="00160F73" w:rsidRPr="002466AC" w:rsidRDefault="00160F73" w:rsidP="00160F73">
            <w:pPr>
              <w:pStyle w:val="Tabledata"/>
              <w:jc w:val="center"/>
            </w:pPr>
            <w:r>
              <w:rPr>
                <w:color w:val="000000"/>
              </w:rPr>
              <w:t>7.67</w:t>
            </w:r>
          </w:p>
        </w:tc>
        <w:tc>
          <w:tcPr>
            <w:tcW w:w="910" w:type="dxa"/>
          </w:tcPr>
          <w:p w14:paraId="3E534003" w14:textId="77777777" w:rsidR="00160F73" w:rsidRPr="002466AC" w:rsidRDefault="00160F73" w:rsidP="00160F73">
            <w:pPr>
              <w:pStyle w:val="Tabledata"/>
              <w:jc w:val="center"/>
              <w:rPr>
                <w:sz w:val="20"/>
                <w:szCs w:val="20"/>
              </w:rPr>
            </w:pPr>
            <w:r>
              <w:rPr>
                <w:color w:val="000000"/>
              </w:rPr>
              <w:t>7.67</w:t>
            </w:r>
          </w:p>
        </w:tc>
        <w:tc>
          <w:tcPr>
            <w:tcW w:w="911" w:type="dxa"/>
          </w:tcPr>
          <w:p w14:paraId="1ACB7E8C" w14:textId="77777777" w:rsidR="00160F73" w:rsidRPr="002466AC" w:rsidRDefault="00160F73" w:rsidP="00160F73">
            <w:pPr>
              <w:pStyle w:val="Tabledata"/>
              <w:jc w:val="center"/>
              <w:rPr>
                <w:sz w:val="20"/>
                <w:szCs w:val="20"/>
              </w:rPr>
            </w:pPr>
            <w:r>
              <w:rPr>
                <w:color w:val="000000"/>
              </w:rPr>
              <w:t>7.67</w:t>
            </w:r>
          </w:p>
        </w:tc>
        <w:tc>
          <w:tcPr>
            <w:tcW w:w="911" w:type="dxa"/>
          </w:tcPr>
          <w:p w14:paraId="0BC270F8" w14:textId="77777777" w:rsidR="00160F73" w:rsidRPr="002466AC" w:rsidRDefault="00160F73" w:rsidP="00160F73">
            <w:pPr>
              <w:pStyle w:val="Tabledata"/>
              <w:jc w:val="center"/>
              <w:rPr>
                <w:sz w:val="20"/>
                <w:szCs w:val="20"/>
              </w:rPr>
            </w:pPr>
            <w:r>
              <w:rPr>
                <w:color w:val="000000"/>
              </w:rPr>
              <w:t>7.67</w:t>
            </w:r>
          </w:p>
        </w:tc>
      </w:tr>
      <w:tr w:rsidR="00160F73" w:rsidRPr="00E64B7E" w14:paraId="6CDBFEE8" w14:textId="77777777" w:rsidTr="00160F73">
        <w:trPr>
          <w:trHeight w:val="274"/>
        </w:trPr>
        <w:tc>
          <w:tcPr>
            <w:tcW w:w="2830" w:type="dxa"/>
          </w:tcPr>
          <w:p w14:paraId="392EC551" w14:textId="77777777" w:rsidR="00160F73" w:rsidRPr="00E64B7E" w:rsidRDefault="00160F73" w:rsidP="00160F73">
            <w:pPr>
              <w:pStyle w:val="Tabledata"/>
            </w:pPr>
            <w:r w:rsidRPr="00E64B7E">
              <w:t>Modified IRR (%)</w:t>
            </w:r>
          </w:p>
        </w:tc>
        <w:tc>
          <w:tcPr>
            <w:tcW w:w="993" w:type="dxa"/>
          </w:tcPr>
          <w:p w14:paraId="52549828" w14:textId="77777777" w:rsidR="00160F73" w:rsidRPr="002466AC" w:rsidRDefault="00160F73" w:rsidP="00160F73">
            <w:pPr>
              <w:pStyle w:val="Tabledata"/>
              <w:jc w:val="center"/>
              <w:rPr>
                <w:sz w:val="20"/>
                <w:szCs w:val="20"/>
              </w:rPr>
            </w:pPr>
            <w:r>
              <w:rPr>
                <w:color w:val="000000"/>
              </w:rPr>
              <w:t>negative</w:t>
            </w:r>
          </w:p>
        </w:tc>
        <w:tc>
          <w:tcPr>
            <w:tcW w:w="992" w:type="dxa"/>
          </w:tcPr>
          <w:p w14:paraId="125E074F" w14:textId="77777777" w:rsidR="00160F73" w:rsidRPr="002466AC" w:rsidRDefault="00160F73" w:rsidP="00160F73">
            <w:pPr>
              <w:pStyle w:val="Tabledata"/>
              <w:jc w:val="center"/>
              <w:rPr>
                <w:sz w:val="20"/>
                <w:szCs w:val="20"/>
              </w:rPr>
            </w:pPr>
            <w:r>
              <w:rPr>
                <w:color w:val="000000"/>
              </w:rPr>
              <w:t>negative</w:t>
            </w:r>
          </w:p>
        </w:tc>
        <w:tc>
          <w:tcPr>
            <w:tcW w:w="609" w:type="dxa"/>
          </w:tcPr>
          <w:p w14:paraId="3C4B0DD5" w14:textId="77777777" w:rsidR="00160F73" w:rsidRPr="002466AC" w:rsidRDefault="00160F73" w:rsidP="00160F73">
            <w:pPr>
              <w:pStyle w:val="Tabledata"/>
              <w:jc w:val="center"/>
            </w:pPr>
            <w:r>
              <w:rPr>
                <w:color w:val="000000"/>
              </w:rPr>
              <w:t>5.19</w:t>
            </w:r>
          </w:p>
        </w:tc>
        <w:tc>
          <w:tcPr>
            <w:tcW w:w="911" w:type="dxa"/>
          </w:tcPr>
          <w:p w14:paraId="265E7DB2" w14:textId="77777777" w:rsidR="00160F73" w:rsidRPr="002466AC" w:rsidRDefault="00160F73" w:rsidP="00160F73">
            <w:pPr>
              <w:pStyle w:val="Tabledata"/>
              <w:jc w:val="center"/>
            </w:pPr>
            <w:r>
              <w:rPr>
                <w:color w:val="000000"/>
              </w:rPr>
              <w:t>3.43</w:t>
            </w:r>
          </w:p>
        </w:tc>
        <w:tc>
          <w:tcPr>
            <w:tcW w:w="910" w:type="dxa"/>
          </w:tcPr>
          <w:p w14:paraId="1208DCED" w14:textId="77777777" w:rsidR="00160F73" w:rsidRPr="002466AC" w:rsidRDefault="00160F73" w:rsidP="00160F73">
            <w:pPr>
              <w:pStyle w:val="Tabledata"/>
              <w:jc w:val="center"/>
              <w:rPr>
                <w:sz w:val="20"/>
                <w:szCs w:val="20"/>
              </w:rPr>
            </w:pPr>
            <w:r>
              <w:rPr>
                <w:color w:val="000000"/>
              </w:rPr>
              <w:t>2.56</w:t>
            </w:r>
          </w:p>
        </w:tc>
        <w:tc>
          <w:tcPr>
            <w:tcW w:w="911" w:type="dxa"/>
          </w:tcPr>
          <w:p w14:paraId="7910199B" w14:textId="77777777" w:rsidR="00160F73" w:rsidRPr="002466AC" w:rsidRDefault="00160F73" w:rsidP="00160F73">
            <w:pPr>
              <w:pStyle w:val="Tabledata"/>
              <w:jc w:val="center"/>
              <w:rPr>
                <w:sz w:val="20"/>
                <w:szCs w:val="20"/>
              </w:rPr>
            </w:pPr>
            <w:r>
              <w:rPr>
                <w:color w:val="000000"/>
              </w:rPr>
              <w:t>2.04</w:t>
            </w:r>
          </w:p>
        </w:tc>
        <w:tc>
          <w:tcPr>
            <w:tcW w:w="911" w:type="dxa"/>
          </w:tcPr>
          <w:p w14:paraId="79B34145" w14:textId="77777777" w:rsidR="00160F73" w:rsidRPr="002466AC" w:rsidRDefault="00160F73" w:rsidP="00160F73">
            <w:pPr>
              <w:pStyle w:val="Tabledata"/>
              <w:jc w:val="center"/>
              <w:rPr>
                <w:sz w:val="20"/>
                <w:szCs w:val="20"/>
              </w:rPr>
            </w:pPr>
            <w:r>
              <w:rPr>
                <w:color w:val="000000"/>
              </w:rPr>
              <w:t>1.70</w:t>
            </w:r>
          </w:p>
        </w:tc>
      </w:tr>
    </w:tbl>
    <w:p w14:paraId="4E1690DE" w14:textId="34CDA01F" w:rsidR="0024031A" w:rsidRDefault="0024031A" w:rsidP="0024031A">
      <w:pPr>
        <w:pStyle w:val="BodyCopy"/>
      </w:pPr>
    </w:p>
    <w:p w14:paraId="388D8A42" w14:textId="485D0DB0" w:rsidR="0024031A" w:rsidRDefault="0024031A" w:rsidP="00160F73">
      <w:pPr>
        <w:pStyle w:val="TableHeading"/>
      </w:pPr>
      <w:r>
        <w:t>Table A9: Investment Criteria for DES Investment</w:t>
      </w:r>
      <w:r w:rsidR="00160F73">
        <w:t xml:space="preserve"> </w:t>
      </w:r>
      <w:r>
        <w:t>(discount rate 5%)</w:t>
      </w:r>
    </w:p>
    <w:tbl>
      <w:tblPr>
        <w:tblStyle w:val="SRATable"/>
        <w:tblW w:w="9067" w:type="dxa"/>
        <w:tblLayout w:type="fixed"/>
        <w:tblLook w:val="0000" w:firstRow="0" w:lastRow="0" w:firstColumn="0" w:lastColumn="0" w:noHBand="0" w:noVBand="0"/>
      </w:tblPr>
      <w:tblGrid>
        <w:gridCol w:w="2830"/>
        <w:gridCol w:w="993"/>
        <w:gridCol w:w="992"/>
        <w:gridCol w:w="688"/>
        <w:gridCol w:w="891"/>
        <w:gridCol w:w="891"/>
        <w:gridCol w:w="891"/>
        <w:gridCol w:w="891"/>
      </w:tblGrid>
      <w:tr w:rsidR="00160F73" w:rsidRPr="00E64B7E" w14:paraId="4C2879F5" w14:textId="77777777" w:rsidTr="009E7CC2">
        <w:trPr>
          <w:trHeight w:val="247"/>
        </w:trPr>
        <w:tc>
          <w:tcPr>
            <w:tcW w:w="2830" w:type="dxa"/>
            <w:vMerge w:val="restart"/>
            <w:shd w:val="clear" w:color="auto" w:fill="CBDCE0"/>
          </w:tcPr>
          <w:p w14:paraId="4277C4E4" w14:textId="3059F2C1" w:rsidR="00160F73" w:rsidRPr="00E64B7E" w:rsidRDefault="00160F73" w:rsidP="00D64FA3">
            <w:pPr>
              <w:pStyle w:val="TableDataHeading"/>
            </w:pPr>
            <w:r w:rsidRPr="00E64B7E">
              <w:t>Investment Criteria</w:t>
            </w:r>
          </w:p>
        </w:tc>
        <w:tc>
          <w:tcPr>
            <w:tcW w:w="6237" w:type="dxa"/>
            <w:gridSpan w:val="7"/>
            <w:shd w:val="clear" w:color="auto" w:fill="CBDCE0"/>
          </w:tcPr>
          <w:p w14:paraId="07C92F4E" w14:textId="77777777" w:rsidR="00160F73" w:rsidRPr="00E64B7E" w:rsidRDefault="00160F73" w:rsidP="009E7CC2">
            <w:pPr>
              <w:pStyle w:val="TableDataHeading"/>
              <w:jc w:val="center"/>
            </w:pPr>
            <w:r w:rsidRPr="00E64B7E">
              <w:t>Years from last year of investment</w:t>
            </w:r>
          </w:p>
        </w:tc>
      </w:tr>
      <w:tr w:rsidR="00160F73" w:rsidRPr="00E64B7E" w14:paraId="4D6B6434" w14:textId="77777777" w:rsidTr="00D64FA3">
        <w:trPr>
          <w:trHeight w:val="247"/>
        </w:trPr>
        <w:tc>
          <w:tcPr>
            <w:tcW w:w="2830" w:type="dxa"/>
            <w:vMerge/>
          </w:tcPr>
          <w:p w14:paraId="47DB95CD" w14:textId="77777777" w:rsidR="00160F73" w:rsidRPr="00E64B7E" w:rsidRDefault="00160F73" w:rsidP="00D64FA3">
            <w:pPr>
              <w:pStyle w:val="TableDataHeading"/>
            </w:pPr>
          </w:p>
        </w:tc>
        <w:tc>
          <w:tcPr>
            <w:tcW w:w="993" w:type="dxa"/>
          </w:tcPr>
          <w:p w14:paraId="4E0EC598" w14:textId="77777777" w:rsidR="00160F73" w:rsidRPr="00E64B7E" w:rsidRDefault="00160F73" w:rsidP="00D64FA3">
            <w:pPr>
              <w:pStyle w:val="TableDataHeading"/>
              <w:jc w:val="center"/>
            </w:pPr>
            <w:r w:rsidRPr="00E64B7E">
              <w:t>0</w:t>
            </w:r>
          </w:p>
        </w:tc>
        <w:tc>
          <w:tcPr>
            <w:tcW w:w="992" w:type="dxa"/>
          </w:tcPr>
          <w:p w14:paraId="27BF362E" w14:textId="77777777" w:rsidR="00160F73" w:rsidRPr="00E64B7E" w:rsidRDefault="00160F73" w:rsidP="00D64FA3">
            <w:pPr>
              <w:pStyle w:val="TableDataHeading"/>
              <w:jc w:val="center"/>
            </w:pPr>
            <w:r w:rsidRPr="00E64B7E">
              <w:t>5</w:t>
            </w:r>
          </w:p>
        </w:tc>
        <w:tc>
          <w:tcPr>
            <w:tcW w:w="688" w:type="dxa"/>
          </w:tcPr>
          <w:p w14:paraId="6D8E5401" w14:textId="77777777" w:rsidR="00160F73" w:rsidRPr="00E64B7E" w:rsidRDefault="00160F73" w:rsidP="00D64FA3">
            <w:pPr>
              <w:pStyle w:val="TableDataHeading"/>
              <w:jc w:val="center"/>
            </w:pPr>
            <w:r w:rsidRPr="00E64B7E">
              <w:t>10</w:t>
            </w:r>
          </w:p>
        </w:tc>
        <w:tc>
          <w:tcPr>
            <w:tcW w:w="891" w:type="dxa"/>
          </w:tcPr>
          <w:p w14:paraId="0839ADA4" w14:textId="77777777" w:rsidR="00160F73" w:rsidRPr="00E64B7E" w:rsidRDefault="00160F73" w:rsidP="00D64FA3">
            <w:pPr>
              <w:pStyle w:val="TableDataHeading"/>
              <w:jc w:val="center"/>
            </w:pPr>
            <w:r w:rsidRPr="00E64B7E">
              <w:t>15</w:t>
            </w:r>
          </w:p>
        </w:tc>
        <w:tc>
          <w:tcPr>
            <w:tcW w:w="891" w:type="dxa"/>
          </w:tcPr>
          <w:p w14:paraId="27C7290C" w14:textId="77777777" w:rsidR="00160F73" w:rsidRPr="00E64B7E" w:rsidRDefault="00160F73" w:rsidP="00D64FA3">
            <w:pPr>
              <w:pStyle w:val="TableDataHeading"/>
              <w:jc w:val="center"/>
            </w:pPr>
            <w:r w:rsidRPr="00E64B7E">
              <w:t>20</w:t>
            </w:r>
          </w:p>
        </w:tc>
        <w:tc>
          <w:tcPr>
            <w:tcW w:w="891" w:type="dxa"/>
          </w:tcPr>
          <w:p w14:paraId="1E7E7B3E" w14:textId="77777777" w:rsidR="00160F73" w:rsidRPr="00E64B7E" w:rsidRDefault="00160F73" w:rsidP="00D64FA3">
            <w:pPr>
              <w:pStyle w:val="TableDataHeading"/>
              <w:jc w:val="center"/>
            </w:pPr>
            <w:r w:rsidRPr="00E64B7E">
              <w:t>25</w:t>
            </w:r>
          </w:p>
        </w:tc>
        <w:tc>
          <w:tcPr>
            <w:tcW w:w="891" w:type="dxa"/>
          </w:tcPr>
          <w:p w14:paraId="754AB0BE" w14:textId="77777777" w:rsidR="00160F73" w:rsidRPr="00E64B7E" w:rsidRDefault="00160F73" w:rsidP="00D64FA3">
            <w:pPr>
              <w:pStyle w:val="TableDataHeading"/>
              <w:jc w:val="center"/>
            </w:pPr>
            <w:r w:rsidRPr="00E64B7E">
              <w:t>30</w:t>
            </w:r>
          </w:p>
        </w:tc>
      </w:tr>
      <w:tr w:rsidR="00160F73" w:rsidRPr="00E64B7E" w14:paraId="3A82A225" w14:textId="77777777" w:rsidTr="00D64FA3">
        <w:trPr>
          <w:trHeight w:val="247"/>
        </w:trPr>
        <w:tc>
          <w:tcPr>
            <w:tcW w:w="2830" w:type="dxa"/>
          </w:tcPr>
          <w:p w14:paraId="2BF01069" w14:textId="77777777" w:rsidR="00160F73" w:rsidRPr="00E64B7E" w:rsidRDefault="00160F73" w:rsidP="00D64FA3">
            <w:pPr>
              <w:pStyle w:val="Tabledata"/>
            </w:pPr>
            <w:r w:rsidRPr="00E64B7E">
              <w:t>Present value of benefits ($</w:t>
            </w:r>
            <w:r>
              <w:t>m</w:t>
            </w:r>
            <w:r w:rsidRPr="00E64B7E">
              <w:t>)</w:t>
            </w:r>
          </w:p>
        </w:tc>
        <w:tc>
          <w:tcPr>
            <w:tcW w:w="993" w:type="dxa"/>
          </w:tcPr>
          <w:p w14:paraId="33B246BD" w14:textId="77777777" w:rsidR="00160F73" w:rsidRPr="002466AC" w:rsidRDefault="00160F73" w:rsidP="00D64FA3">
            <w:pPr>
              <w:pStyle w:val="Tabledata"/>
              <w:rPr>
                <w:sz w:val="20"/>
                <w:szCs w:val="20"/>
              </w:rPr>
            </w:pPr>
            <w:r>
              <w:rPr>
                <w:color w:val="000000"/>
              </w:rPr>
              <w:t>0.00</w:t>
            </w:r>
          </w:p>
        </w:tc>
        <w:tc>
          <w:tcPr>
            <w:tcW w:w="992" w:type="dxa"/>
          </w:tcPr>
          <w:p w14:paraId="59509C25" w14:textId="77777777" w:rsidR="00160F73" w:rsidRPr="002466AC" w:rsidRDefault="00160F73" w:rsidP="00D64FA3">
            <w:pPr>
              <w:pStyle w:val="Tabledata"/>
              <w:rPr>
                <w:sz w:val="20"/>
                <w:szCs w:val="20"/>
              </w:rPr>
            </w:pPr>
            <w:r>
              <w:rPr>
                <w:color w:val="000000"/>
              </w:rPr>
              <w:t>0.52</w:t>
            </w:r>
          </w:p>
        </w:tc>
        <w:tc>
          <w:tcPr>
            <w:tcW w:w="688" w:type="dxa"/>
          </w:tcPr>
          <w:p w14:paraId="04832F55" w14:textId="77777777" w:rsidR="00160F73" w:rsidRPr="002466AC" w:rsidRDefault="00160F73" w:rsidP="00D64FA3">
            <w:pPr>
              <w:pStyle w:val="Tabledata"/>
              <w:rPr>
                <w:sz w:val="20"/>
                <w:szCs w:val="20"/>
              </w:rPr>
            </w:pPr>
            <w:r>
              <w:rPr>
                <w:color w:val="000000"/>
              </w:rPr>
              <w:t>0.96</w:t>
            </w:r>
          </w:p>
        </w:tc>
        <w:tc>
          <w:tcPr>
            <w:tcW w:w="891" w:type="dxa"/>
          </w:tcPr>
          <w:p w14:paraId="37BB74F8" w14:textId="77777777" w:rsidR="00160F73" w:rsidRPr="002466AC" w:rsidRDefault="00160F73" w:rsidP="00D64FA3">
            <w:pPr>
              <w:pStyle w:val="Tabledata"/>
              <w:rPr>
                <w:sz w:val="20"/>
                <w:szCs w:val="20"/>
              </w:rPr>
            </w:pPr>
            <w:r>
              <w:rPr>
                <w:color w:val="000000"/>
              </w:rPr>
              <w:t>0.96</w:t>
            </w:r>
          </w:p>
        </w:tc>
        <w:tc>
          <w:tcPr>
            <w:tcW w:w="891" w:type="dxa"/>
          </w:tcPr>
          <w:p w14:paraId="2D832490" w14:textId="77777777" w:rsidR="00160F73" w:rsidRPr="002466AC" w:rsidRDefault="00160F73" w:rsidP="00D64FA3">
            <w:pPr>
              <w:pStyle w:val="Tabledata"/>
              <w:rPr>
                <w:sz w:val="20"/>
                <w:szCs w:val="20"/>
              </w:rPr>
            </w:pPr>
            <w:r>
              <w:rPr>
                <w:color w:val="000000"/>
              </w:rPr>
              <w:t>0.96</w:t>
            </w:r>
          </w:p>
        </w:tc>
        <w:tc>
          <w:tcPr>
            <w:tcW w:w="891" w:type="dxa"/>
          </w:tcPr>
          <w:p w14:paraId="1B1E7351" w14:textId="77777777" w:rsidR="00160F73" w:rsidRPr="002466AC" w:rsidRDefault="00160F73" w:rsidP="00D64FA3">
            <w:pPr>
              <w:pStyle w:val="Tabledata"/>
              <w:rPr>
                <w:sz w:val="20"/>
                <w:szCs w:val="20"/>
              </w:rPr>
            </w:pPr>
            <w:r>
              <w:rPr>
                <w:color w:val="000000"/>
              </w:rPr>
              <w:t>0.96</w:t>
            </w:r>
          </w:p>
        </w:tc>
        <w:tc>
          <w:tcPr>
            <w:tcW w:w="891" w:type="dxa"/>
          </w:tcPr>
          <w:p w14:paraId="7A3ABD71" w14:textId="77777777" w:rsidR="00160F73" w:rsidRPr="002466AC" w:rsidRDefault="00160F73" w:rsidP="00D64FA3">
            <w:pPr>
              <w:pStyle w:val="Tabledata"/>
              <w:rPr>
                <w:sz w:val="20"/>
                <w:szCs w:val="20"/>
              </w:rPr>
            </w:pPr>
            <w:r>
              <w:rPr>
                <w:color w:val="000000"/>
              </w:rPr>
              <w:t>0.96</w:t>
            </w:r>
          </w:p>
        </w:tc>
      </w:tr>
      <w:tr w:rsidR="00160F73" w:rsidRPr="00E64B7E" w14:paraId="148698F8" w14:textId="77777777" w:rsidTr="00D64FA3">
        <w:trPr>
          <w:trHeight w:val="247"/>
        </w:trPr>
        <w:tc>
          <w:tcPr>
            <w:tcW w:w="2830" w:type="dxa"/>
          </w:tcPr>
          <w:p w14:paraId="4093364A" w14:textId="77777777" w:rsidR="00160F73" w:rsidRPr="00E64B7E" w:rsidRDefault="00160F73" w:rsidP="00D64FA3">
            <w:pPr>
              <w:pStyle w:val="Tabledata"/>
            </w:pPr>
            <w:r w:rsidRPr="00E64B7E">
              <w:t>Present value of costs ($</w:t>
            </w:r>
            <w:r>
              <w:t>m</w:t>
            </w:r>
            <w:r w:rsidRPr="00E64B7E">
              <w:t>)</w:t>
            </w:r>
          </w:p>
        </w:tc>
        <w:tc>
          <w:tcPr>
            <w:tcW w:w="993" w:type="dxa"/>
          </w:tcPr>
          <w:p w14:paraId="6A968E58" w14:textId="77777777" w:rsidR="00160F73" w:rsidRPr="002466AC" w:rsidRDefault="00160F73" w:rsidP="00D64FA3">
            <w:pPr>
              <w:pStyle w:val="Tabledata"/>
              <w:rPr>
                <w:sz w:val="20"/>
                <w:szCs w:val="20"/>
              </w:rPr>
            </w:pPr>
            <w:r>
              <w:rPr>
                <w:color w:val="000000"/>
              </w:rPr>
              <w:t>0.79</w:t>
            </w:r>
          </w:p>
        </w:tc>
        <w:tc>
          <w:tcPr>
            <w:tcW w:w="992" w:type="dxa"/>
          </w:tcPr>
          <w:p w14:paraId="2CDFC187" w14:textId="77777777" w:rsidR="00160F73" w:rsidRPr="002466AC" w:rsidRDefault="00160F73" w:rsidP="00D64FA3">
            <w:pPr>
              <w:pStyle w:val="Tabledata"/>
              <w:rPr>
                <w:sz w:val="20"/>
                <w:szCs w:val="20"/>
              </w:rPr>
            </w:pPr>
            <w:r>
              <w:rPr>
                <w:color w:val="000000"/>
              </w:rPr>
              <w:t>0.79</w:t>
            </w:r>
          </w:p>
        </w:tc>
        <w:tc>
          <w:tcPr>
            <w:tcW w:w="688" w:type="dxa"/>
          </w:tcPr>
          <w:p w14:paraId="1F101FAD" w14:textId="77777777" w:rsidR="00160F73" w:rsidRPr="002466AC" w:rsidRDefault="00160F73" w:rsidP="00D64FA3">
            <w:pPr>
              <w:pStyle w:val="Tabledata"/>
              <w:rPr>
                <w:sz w:val="20"/>
                <w:szCs w:val="20"/>
              </w:rPr>
            </w:pPr>
            <w:r>
              <w:rPr>
                <w:color w:val="000000"/>
              </w:rPr>
              <w:t>0.79</w:t>
            </w:r>
          </w:p>
        </w:tc>
        <w:tc>
          <w:tcPr>
            <w:tcW w:w="891" w:type="dxa"/>
          </w:tcPr>
          <w:p w14:paraId="489BFC33" w14:textId="77777777" w:rsidR="00160F73" w:rsidRPr="002466AC" w:rsidRDefault="00160F73" w:rsidP="00D64FA3">
            <w:pPr>
              <w:pStyle w:val="Tabledata"/>
              <w:rPr>
                <w:sz w:val="20"/>
                <w:szCs w:val="20"/>
              </w:rPr>
            </w:pPr>
            <w:r>
              <w:rPr>
                <w:color w:val="000000"/>
              </w:rPr>
              <w:t>0.79</w:t>
            </w:r>
          </w:p>
        </w:tc>
        <w:tc>
          <w:tcPr>
            <w:tcW w:w="891" w:type="dxa"/>
          </w:tcPr>
          <w:p w14:paraId="23270DE4" w14:textId="77777777" w:rsidR="00160F73" w:rsidRPr="002466AC" w:rsidRDefault="00160F73" w:rsidP="00D64FA3">
            <w:pPr>
              <w:pStyle w:val="Tabledata"/>
              <w:rPr>
                <w:sz w:val="20"/>
                <w:szCs w:val="20"/>
              </w:rPr>
            </w:pPr>
            <w:r>
              <w:rPr>
                <w:color w:val="000000"/>
              </w:rPr>
              <w:t>0.79</w:t>
            </w:r>
          </w:p>
        </w:tc>
        <w:tc>
          <w:tcPr>
            <w:tcW w:w="891" w:type="dxa"/>
          </w:tcPr>
          <w:p w14:paraId="2C4CA3BE" w14:textId="77777777" w:rsidR="00160F73" w:rsidRPr="002466AC" w:rsidRDefault="00160F73" w:rsidP="00D64FA3">
            <w:pPr>
              <w:pStyle w:val="Tabledata"/>
              <w:rPr>
                <w:sz w:val="20"/>
                <w:szCs w:val="20"/>
              </w:rPr>
            </w:pPr>
            <w:r>
              <w:rPr>
                <w:color w:val="000000"/>
              </w:rPr>
              <w:t>0.79</w:t>
            </w:r>
          </w:p>
        </w:tc>
        <w:tc>
          <w:tcPr>
            <w:tcW w:w="891" w:type="dxa"/>
          </w:tcPr>
          <w:p w14:paraId="1332878B" w14:textId="77777777" w:rsidR="00160F73" w:rsidRPr="002466AC" w:rsidRDefault="00160F73" w:rsidP="00D64FA3">
            <w:pPr>
              <w:pStyle w:val="Tabledata"/>
              <w:rPr>
                <w:sz w:val="20"/>
                <w:szCs w:val="20"/>
              </w:rPr>
            </w:pPr>
            <w:r>
              <w:rPr>
                <w:color w:val="000000"/>
              </w:rPr>
              <w:t>0.79</w:t>
            </w:r>
          </w:p>
        </w:tc>
      </w:tr>
      <w:tr w:rsidR="00160F73" w:rsidRPr="00E64B7E" w14:paraId="3A81402F" w14:textId="77777777" w:rsidTr="00D64FA3">
        <w:trPr>
          <w:trHeight w:val="247"/>
        </w:trPr>
        <w:tc>
          <w:tcPr>
            <w:tcW w:w="2830" w:type="dxa"/>
          </w:tcPr>
          <w:p w14:paraId="0AA721C9" w14:textId="77777777" w:rsidR="00160F73" w:rsidRPr="00E64B7E" w:rsidRDefault="00160F73" w:rsidP="00D64FA3">
            <w:pPr>
              <w:pStyle w:val="Tabledata"/>
            </w:pPr>
            <w:r w:rsidRPr="00E64B7E">
              <w:t>Net present value ($</w:t>
            </w:r>
            <w:r>
              <w:t>m</w:t>
            </w:r>
            <w:r w:rsidRPr="00E64B7E">
              <w:t>)</w:t>
            </w:r>
          </w:p>
        </w:tc>
        <w:tc>
          <w:tcPr>
            <w:tcW w:w="993" w:type="dxa"/>
          </w:tcPr>
          <w:p w14:paraId="48C7DEA1" w14:textId="77777777" w:rsidR="00160F73" w:rsidRPr="002466AC" w:rsidRDefault="00160F73" w:rsidP="00D64FA3">
            <w:pPr>
              <w:pStyle w:val="Tabledata"/>
              <w:rPr>
                <w:sz w:val="20"/>
                <w:szCs w:val="20"/>
              </w:rPr>
            </w:pPr>
            <w:r>
              <w:rPr>
                <w:color w:val="000000"/>
              </w:rPr>
              <w:t>-0.79</w:t>
            </w:r>
          </w:p>
        </w:tc>
        <w:tc>
          <w:tcPr>
            <w:tcW w:w="992" w:type="dxa"/>
          </w:tcPr>
          <w:p w14:paraId="36B4B2B0" w14:textId="77777777" w:rsidR="00160F73" w:rsidRPr="002466AC" w:rsidRDefault="00160F73" w:rsidP="00D64FA3">
            <w:pPr>
              <w:pStyle w:val="Tabledata"/>
              <w:rPr>
                <w:sz w:val="20"/>
                <w:szCs w:val="20"/>
              </w:rPr>
            </w:pPr>
            <w:r>
              <w:rPr>
                <w:color w:val="000000"/>
              </w:rPr>
              <w:t>-0.27</w:t>
            </w:r>
          </w:p>
        </w:tc>
        <w:tc>
          <w:tcPr>
            <w:tcW w:w="688" w:type="dxa"/>
          </w:tcPr>
          <w:p w14:paraId="4D37C881" w14:textId="77777777" w:rsidR="00160F73" w:rsidRPr="002466AC" w:rsidRDefault="00160F73" w:rsidP="00D64FA3">
            <w:pPr>
              <w:pStyle w:val="Tabledata"/>
              <w:rPr>
                <w:sz w:val="20"/>
                <w:szCs w:val="20"/>
              </w:rPr>
            </w:pPr>
            <w:r>
              <w:rPr>
                <w:color w:val="000000"/>
              </w:rPr>
              <w:t>0.17</w:t>
            </w:r>
          </w:p>
        </w:tc>
        <w:tc>
          <w:tcPr>
            <w:tcW w:w="891" w:type="dxa"/>
          </w:tcPr>
          <w:p w14:paraId="7013CA09" w14:textId="77777777" w:rsidR="00160F73" w:rsidRPr="002466AC" w:rsidRDefault="00160F73" w:rsidP="00D64FA3">
            <w:pPr>
              <w:pStyle w:val="Tabledata"/>
              <w:rPr>
                <w:sz w:val="20"/>
                <w:szCs w:val="20"/>
              </w:rPr>
            </w:pPr>
            <w:r>
              <w:rPr>
                <w:color w:val="000000"/>
              </w:rPr>
              <w:t>0.17</w:t>
            </w:r>
          </w:p>
        </w:tc>
        <w:tc>
          <w:tcPr>
            <w:tcW w:w="891" w:type="dxa"/>
          </w:tcPr>
          <w:p w14:paraId="423ABEEB" w14:textId="77777777" w:rsidR="00160F73" w:rsidRPr="002466AC" w:rsidRDefault="00160F73" w:rsidP="00D64FA3">
            <w:pPr>
              <w:pStyle w:val="Tabledata"/>
              <w:rPr>
                <w:sz w:val="20"/>
                <w:szCs w:val="20"/>
              </w:rPr>
            </w:pPr>
            <w:r>
              <w:rPr>
                <w:color w:val="000000"/>
              </w:rPr>
              <w:t>0.17</w:t>
            </w:r>
          </w:p>
        </w:tc>
        <w:tc>
          <w:tcPr>
            <w:tcW w:w="891" w:type="dxa"/>
          </w:tcPr>
          <w:p w14:paraId="62BB1CC1" w14:textId="77777777" w:rsidR="00160F73" w:rsidRPr="002466AC" w:rsidRDefault="00160F73" w:rsidP="00D64FA3">
            <w:pPr>
              <w:pStyle w:val="Tabledata"/>
              <w:rPr>
                <w:sz w:val="20"/>
                <w:szCs w:val="20"/>
              </w:rPr>
            </w:pPr>
            <w:r>
              <w:rPr>
                <w:color w:val="000000"/>
              </w:rPr>
              <w:t>0.17</w:t>
            </w:r>
          </w:p>
        </w:tc>
        <w:tc>
          <w:tcPr>
            <w:tcW w:w="891" w:type="dxa"/>
          </w:tcPr>
          <w:p w14:paraId="3F4AFAB8" w14:textId="77777777" w:rsidR="00160F73" w:rsidRPr="002466AC" w:rsidRDefault="00160F73" w:rsidP="00D64FA3">
            <w:pPr>
              <w:pStyle w:val="Tabledata"/>
              <w:rPr>
                <w:sz w:val="20"/>
                <w:szCs w:val="20"/>
              </w:rPr>
            </w:pPr>
            <w:r>
              <w:rPr>
                <w:color w:val="000000"/>
              </w:rPr>
              <w:t>0.17</w:t>
            </w:r>
          </w:p>
        </w:tc>
      </w:tr>
      <w:tr w:rsidR="00160F73" w:rsidRPr="00E64B7E" w14:paraId="7BFB7209" w14:textId="77777777" w:rsidTr="00D64FA3">
        <w:trPr>
          <w:trHeight w:val="235"/>
        </w:trPr>
        <w:tc>
          <w:tcPr>
            <w:tcW w:w="2830" w:type="dxa"/>
          </w:tcPr>
          <w:p w14:paraId="0B880EAA" w14:textId="77777777" w:rsidR="00160F73" w:rsidRPr="00E64B7E" w:rsidRDefault="00160F73" w:rsidP="00D64FA3">
            <w:pPr>
              <w:pStyle w:val="Tabledata"/>
            </w:pPr>
            <w:r w:rsidRPr="00E64B7E">
              <w:t xml:space="preserve">Benefit-cost ratio </w:t>
            </w:r>
          </w:p>
        </w:tc>
        <w:tc>
          <w:tcPr>
            <w:tcW w:w="993" w:type="dxa"/>
          </w:tcPr>
          <w:p w14:paraId="7DA73D16" w14:textId="77777777" w:rsidR="00160F73" w:rsidRPr="002466AC" w:rsidRDefault="00160F73" w:rsidP="00D64FA3">
            <w:pPr>
              <w:pStyle w:val="Tabledata"/>
              <w:rPr>
                <w:sz w:val="20"/>
                <w:szCs w:val="20"/>
              </w:rPr>
            </w:pPr>
            <w:r>
              <w:rPr>
                <w:color w:val="000000"/>
              </w:rPr>
              <w:t>0.00</w:t>
            </w:r>
          </w:p>
        </w:tc>
        <w:tc>
          <w:tcPr>
            <w:tcW w:w="992" w:type="dxa"/>
          </w:tcPr>
          <w:p w14:paraId="13DF7114" w14:textId="77777777" w:rsidR="00160F73" w:rsidRPr="002466AC" w:rsidRDefault="00160F73" w:rsidP="00D64FA3">
            <w:pPr>
              <w:pStyle w:val="Tabledata"/>
              <w:rPr>
                <w:sz w:val="20"/>
                <w:szCs w:val="20"/>
              </w:rPr>
            </w:pPr>
            <w:r>
              <w:rPr>
                <w:color w:val="000000"/>
              </w:rPr>
              <w:t>0.66</w:t>
            </w:r>
          </w:p>
        </w:tc>
        <w:tc>
          <w:tcPr>
            <w:tcW w:w="688" w:type="dxa"/>
          </w:tcPr>
          <w:p w14:paraId="7E01B7F2" w14:textId="77777777" w:rsidR="00160F73" w:rsidRPr="002466AC" w:rsidRDefault="00160F73" w:rsidP="00D64FA3">
            <w:pPr>
              <w:pStyle w:val="Tabledata"/>
              <w:rPr>
                <w:sz w:val="20"/>
                <w:szCs w:val="20"/>
              </w:rPr>
            </w:pPr>
            <w:r>
              <w:rPr>
                <w:color w:val="000000"/>
              </w:rPr>
              <w:t>1.21</w:t>
            </w:r>
          </w:p>
        </w:tc>
        <w:tc>
          <w:tcPr>
            <w:tcW w:w="891" w:type="dxa"/>
          </w:tcPr>
          <w:p w14:paraId="22FABB26" w14:textId="77777777" w:rsidR="00160F73" w:rsidRPr="002466AC" w:rsidRDefault="00160F73" w:rsidP="00D64FA3">
            <w:pPr>
              <w:pStyle w:val="Tabledata"/>
              <w:rPr>
                <w:sz w:val="20"/>
                <w:szCs w:val="20"/>
              </w:rPr>
            </w:pPr>
            <w:r>
              <w:rPr>
                <w:color w:val="000000"/>
              </w:rPr>
              <w:t>1.21</w:t>
            </w:r>
          </w:p>
        </w:tc>
        <w:tc>
          <w:tcPr>
            <w:tcW w:w="891" w:type="dxa"/>
          </w:tcPr>
          <w:p w14:paraId="07EA5A94" w14:textId="77777777" w:rsidR="00160F73" w:rsidRPr="002466AC" w:rsidRDefault="00160F73" w:rsidP="00D64FA3">
            <w:pPr>
              <w:pStyle w:val="Tabledata"/>
              <w:rPr>
                <w:sz w:val="20"/>
                <w:szCs w:val="20"/>
              </w:rPr>
            </w:pPr>
            <w:r>
              <w:rPr>
                <w:color w:val="000000"/>
              </w:rPr>
              <w:t>1.21</w:t>
            </w:r>
          </w:p>
        </w:tc>
        <w:tc>
          <w:tcPr>
            <w:tcW w:w="891" w:type="dxa"/>
          </w:tcPr>
          <w:p w14:paraId="44A194F7" w14:textId="77777777" w:rsidR="00160F73" w:rsidRPr="002466AC" w:rsidRDefault="00160F73" w:rsidP="00D64FA3">
            <w:pPr>
              <w:pStyle w:val="Tabledata"/>
              <w:rPr>
                <w:sz w:val="20"/>
                <w:szCs w:val="20"/>
              </w:rPr>
            </w:pPr>
            <w:r>
              <w:rPr>
                <w:color w:val="000000"/>
              </w:rPr>
              <w:t>1.21</w:t>
            </w:r>
          </w:p>
        </w:tc>
        <w:tc>
          <w:tcPr>
            <w:tcW w:w="891" w:type="dxa"/>
          </w:tcPr>
          <w:p w14:paraId="05DCA03A" w14:textId="77777777" w:rsidR="00160F73" w:rsidRPr="002466AC" w:rsidRDefault="00160F73" w:rsidP="00D64FA3">
            <w:pPr>
              <w:pStyle w:val="Tabledata"/>
              <w:rPr>
                <w:sz w:val="20"/>
                <w:szCs w:val="20"/>
              </w:rPr>
            </w:pPr>
            <w:r>
              <w:rPr>
                <w:color w:val="000000"/>
              </w:rPr>
              <w:t>1.21</w:t>
            </w:r>
          </w:p>
        </w:tc>
      </w:tr>
      <w:tr w:rsidR="00160F73" w:rsidRPr="00E64B7E" w14:paraId="02B750B1" w14:textId="77777777" w:rsidTr="00D64FA3">
        <w:trPr>
          <w:trHeight w:val="274"/>
        </w:trPr>
        <w:tc>
          <w:tcPr>
            <w:tcW w:w="2830" w:type="dxa"/>
          </w:tcPr>
          <w:p w14:paraId="7852C079" w14:textId="77777777" w:rsidR="00160F73" w:rsidRPr="00E64B7E" w:rsidRDefault="00160F73" w:rsidP="00D64FA3">
            <w:pPr>
              <w:pStyle w:val="Tabledata"/>
            </w:pPr>
            <w:r w:rsidRPr="00E64B7E">
              <w:t>Internal rate of return (IRR) (%)</w:t>
            </w:r>
          </w:p>
        </w:tc>
        <w:tc>
          <w:tcPr>
            <w:tcW w:w="993" w:type="dxa"/>
          </w:tcPr>
          <w:p w14:paraId="19AECFE1" w14:textId="77777777" w:rsidR="00160F73" w:rsidRPr="002466AC" w:rsidRDefault="00160F73" w:rsidP="00D64FA3">
            <w:pPr>
              <w:pStyle w:val="Tabledata"/>
              <w:rPr>
                <w:sz w:val="20"/>
                <w:szCs w:val="20"/>
              </w:rPr>
            </w:pPr>
            <w:r>
              <w:rPr>
                <w:color w:val="000000"/>
              </w:rPr>
              <w:t>negative</w:t>
            </w:r>
          </w:p>
        </w:tc>
        <w:tc>
          <w:tcPr>
            <w:tcW w:w="992" w:type="dxa"/>
          </w:tcPr>
          <w:p w14:paraId="6269B032" w14:textId="77777777" w:rsidR="00160F73" w:rsidRPr="002466AC" w:rsidRDefault="00160F73" w:rsidP="00D64FA3">
            <w:pPr>
              <w:pStyle w:val="Tabledata"/>
              <w:rPr>
                <w:sz w:val="20"/>
                <w:szCs w:val="20"/>
              </w:rPr>
            </w:pPr>
            <w:r>
              <w:rPr>
                <w:color w:val="000000"/>
              </w:rPr>
              <w:t>negative</w:t>
            </w:r>
          </w:p>
        </w:tc>
        <w:tc>
          <w:tcPr>
            <w:tcW w:w="688" w:type="dxa"/>
          </w:tcPr>
          <w:p w14:paraId="0B99569E" w14:textId="77777777" w:rsidR="00160F73" w:rsidRPr="002466AC" w:rsidRDefault="00160F73" w:rsidP="00D64FA3">
            <w:pPr>
              <w:pStyle w:val="Tabledata"/>
            </w:pPr>
            <w:r>
              <w:rPr>
                <w:color w:val="000000"/>
              </w:rPr>
              <w:t>7.67</w:t>
            </w:r>
          </w:p>
        </w:tc>
        <w:tc>
          <w:tcPr>
            <w:tcW w:w="891" w:type="dxa"/>
          </w:tcPr>
          <w:p w14:paraId="149CA6D2" w14:textId="77777777" w:rsidR="00160F73" w:rsidRPr="002466AC" w:rsidRDefault="00160F73" w:rsidP="00D64FA3">
            <w:pPr>
              <w:pStyle w:val="Tabledata"/>
            </w:pPr>
            <w:r>
              <w:rPr>
                <w:color w:val="000000"/>
              </w:rPr>
              <w:t>7.67</w:t>
            </w:r>
          </w:p>
        </w:tc>
        <w:tc>
          <w:tcPr>
            <w:tcW w:w="891" w:type="dxa"/>
          </w:tcPr>
          <w:p w14:paraId="58B87B56" w14:textId="77777777" w:rsidR="00160F73" w:rsidRPr="002466AC" w:rsidRDefault="00160F73" w:rsidP="00D64FA3">
            <w:pPr>
              <w:pStyle w:val="Tabledata"/>
            </w:pPr>
            <w:r>
              <w:rPr>
                <w:color w:val="000000"/>
              </w:rPr>
              <w:t>7.67</w:t>
            </w:r>
          </w:p>
        </w:tc>
        <w:tc>
          <w:tcPr>
            <w:tcW w:w="891" w:type="dxa"/>
          </w:tcPr>
          <w:p w14:paraId="38608329" w14:textId="77777777" w:rsidR="00160F73" w:rsidRPr="002466AC" w:rsidRDefault="00160F73" w:rsidP="00D64FA3">
            <w:pPr>
              <w:pStyle w:val="Tabledata"/>
              <w:rPr>
                <w:sz w:val="20"/>
                <w:szCs w:val="20"/>
              </w:rPr>
            </w:pPr>
            <w:r>
              <w:rPr>
                <w:color w:val="000000"/>
              </w:rPr>
              <w:t>7.67</w:t>
            </w:r>
          </w:p>
        </w:tc>
        <w:tc>
          <w:tcPr>
            <w:tcW w:w="891" w:type="dxa"/>
          </w:tcPr>
          <w:p w14:paraId="69948B77" w14:textId="77777777" w:rsidR="00160F73" w:rsidRPr="002466AC" w:rsidRDefault="00160F73" w:rsidP="00D64FA3">
            <w:pPr>
              <w:pStyle w:val="Tabledata"/>
              <w:rPr>
                <w:sz w:val="20"/>
                <w:szCs w:val="20"/>
              </w:rPr>
            </w:pPr>
            <w:r>
              <w:rPr>
                <w:color w:val="000000"/>
              </w:rPr>
              <w:t>7.67</w:t>
            </w:r>
          </w:p>
        </w:tc>
      </w:tr>
      <w:tr w:rsidR="00160F73" w:rsidRPr="00E64B7E" w14:paraId="1CF3A484" w14:textId="77777777" w:rsidTr="00D64FA3">
        <w:trPr>
          <w:trHeight w:val="274"/>
        </w:trPr>
        <w:tc>
          <w:tcPr>
            <w:tcW w:w="2830" w:type="dxa"/>
          </w:tcPr>
          <w:p w14:paraId="4D9F3E76" w14:textId="77777777" w:rsidR="00160F73" w:rsidRPr="00E64B7E" w:rsidRDefault="00160F73" w:rsidP="00D64FA3">
            <w:pPr>
              <w:pStyle w:val="Tabledata"/>
            </w:pPr>
            <w:r w:rsidRPr="00E64B7E">
              <w:t>Modified IRR (%)</w:t>
            </w:r>
          </w:p>
        </w:tc>
        <w:tc>
          <w:tcPr>
            <w:tcW w:w="993" w:type="dxa"/>
          </w:tcPr>
          <w:p w14:paraId="712C1C7E" w14:textId="77777777" w:rsidR="00160F73" w:rsidRPr="002466AC" w:rsidRDefault="00160F73" w:rsidP="00D64FA3">
            <w:pPr>
              <w:pStyle w:val="Tabledata"/>
              <w:rPr>
                <w:sz w:val="20"/>
                <w:szCs w:val="20"/>
              </w:rPr>
            </w:pPr>
            <w:r>
              <w:rPr>
                <w:color w:val="000000"/>
              </w:rPr>
              <w:t>negative</w:t>
            </w:r>
          </w:p>
        </w:tc>
        <w:tc>
          <w:tcPr>
            <w:tcW w:w="992" w:type="dxa"/>
          </w:tcPr>
          <w:p w14:paraId="444E06A2" w14:textId="77777777" w:rsidR="00160F73" w:rsidRPr="002466AC" w:rsidRDefault="00160F73" w:rsidP="00D64FA3">
            <w:pPr>
              <w:pStyle w:val="Tabledata"/>
              <w:rPr>
                <w:sz w:val="20"/>
                <w:szCs w:val="20"/>
              </w:rPr>
            </w:pPr>
            <w:r>
              <w:rPr>
                <w:color w:val="000000"/>
              </w:rPr>
              <w:t>negative</w:t>
            </w:r>
          </w:p>
        </w:tc>
        <w:tc>
          <w:tcPr>
            <w:tcW w:w="688" w:type="dxa"/>
          </w:tcPr>
          <w:p w14:paraId="00614E3F" w14:textId="77777777" w:rsidR="00160F73" w:rsidRPr="002466AC" w:rsidRDefault="00160F73" w:rsidP="00D64FA3">
            <w:pPr>
              <w:pStyle w:val="Tabledata"/>
            </w:pPr>
            <w:r>
              <w:rPr>
                <w:color w:val="000000"/>
              </w:rPr>
              <w:t>5.19</w:t>
            </w:r>
          </w:p>
        </w:tc>
        <w:tc>
          <w:tcPr>
            <w:tcW w:w="891" w:type="dxa"/>
          </w:tcPr>
          <w:p w14:paraId="30036EC0" w14:textId="77777777" w:rsidR="00160F73" w:rsidRPr="002466AC" w:rsidRDefault="00160F73" w:rsidP="00D64FA3">
            <w:pPr>
              <w:pStyle w:val="Tabledata"/>
            </w:pPr>
            <w:r>
              <w:rPr>
                <w:color w:val="000000"/>
              </w:rPr>
              <w:t>3.43</w:t>
            </w:r>
          </w:p>
        </w:tc>
        <w:tc>
          <w:tcPr>
            <w:tcW w:w="891" w:type="dxa"/>
          </w:tcPr>
          <w:p w14:paraId="0EBC8782" w14:textId="77777777" w:rsidR="00160F73" w:rsidRPr="002466AC" w:rsidRDefault="00160F73" w:rsidP="00D64FA3">
            <w:pPr>
              <w:pStyle w:val="Tabledata"/>
              <w:rPr>
                <w:sz w:val="20"/>
                <w:szCs w:val="20"/>
              </w:rPr>
            </w:pPr>
            <w:r>
              <w:rPr>
                <w:color w:val="000000"/>
              </w:rPr>
              <w:t>2.56</w:t>
            </w:r>
          </w:p>
        </w:tc>
        <w:tc>
          <w:tcPr>
            <w:tcW w:w="891" w:type="dxa"/>
          </w:tcPr>
          <w:p w14:paraId="71A73A39" w14:textId="77777777" w:rsidR="00160F73" w:rsidRPr="002466AC" w:rsidRDefault="00160F73" w:rsidP="00D64FA3">
            <w:pPr>
              <w:pStyle w:val="Tabledata"/>
              <w:rPr>
                <w:sz w:val="20"/>
                <w:szCs w:val="20"/>
              </w:rPr>
            </w:pPr>
            <w:r>
              <w:rPr>
                <w:color w:val="000000"/>
              </w:rPr>
              <w:t>2.04</w:t>
            </w:r>
          </w:p>
        </w:tc>
        <w:tc>
          <w:tcPr>
            <w:tcW w:w="891" w:type="dxa"/>
          </w:tcPr>
          <w:p w14:paraId="37719F28" w14:textId="77777777" w:rsidR="00160F73" w:rsidRPr="002466AC" w:rsidRDefault="00160F73" w:rsidP="00D64FA3">
            <w:pPr>
              <w:pStyle w:val="Tabledata"/>
              <w:rPr>
                <w:sz w:val="20"/>
                <w:szCs w:val="20"/>
              </w:rPr>
            </w:pPr>
            <w:r>
              <w:rPr>
                <w:color w:val="000000"/>
              </w:rPr>
              <w:t>1.70</w:t>
            </w:r>
          </w:p>
        </w:tc>
      </w:tr>
    </w:tbl>
    <w:p w14:paraId="322F289C" w14:textId="77777777" w:rsidR="00160F73" w:rsidRDefault="00160F73" w:rsidP="00160F73">
      <w:pPr>
        <w:pStyle w:val="TableHeading"/>
      </w:pPr>
    </w:p>
    <w:p w14:paraId="1F6569FB" w14:textId="15127FA2" w:rsidR="0024031A" w:rsidRDefault="0024031A" w:rsidP="0024031A">
      <w:pPr>
        <w:pStyle w:val="BodyCopy"/>
      </w:pPr>
      <w:r>
        <w:t>The annual cash flow of undiscounted benefits and costs for the total investment are shown in Figure A1</w:t>
      </w:r>
      <w:r w:rsidR="00725308">
        <w:t xml:space="preserve">. </w:t>
      </w:r>
      <w:r>
        <w:t> </w:t>
      </w:r>
    </w:p>
    <w:p w14:paraId="109F809A" w14:textId="716CB098" w:rsidR="0024031A" w:rsidRDefault="00D64FA3" w:rsidP="00D64FA3">
      <w:pPr>
        <w:pStyle w:val="TableHeading"/>
      </w:pPr>
      <w:r>
        <w:rPr>
          <w:noProof/>
        </w:rPr>
        <w:drawing>
          <wp:anchor distT="0" distB="0" distL="114300" distR="114300" simplePos="0" relativeHeight="251658240" behindDoc="0" locked="0" layoutInCell="1" allowOverlap="1" wp14:anchorId="5DFF9455" wp14:editId="1164D52A">
            <wp:simplePos x="0" y="0"/>
            <wp:positionH relativeFrom="column">
              <wp:posOffset>-152400</wp:posOffset>
            </wp:positionH>
            <wp:positionV relativeFrom="paragraph">
              <wp:posOffset>227330</wp:posOffset>
            </wp:positionV>
            <wp:extent cx="6000750" cy="3183890"/>
            <wp:effectExtent l="0" t="0" r="0" b="0"/>
            <wp:wrapSquare wrapText="bothSides"/>
            <wp:docPr id="6" name="Chart 6">
              <a:extLst xmlns:a="http://schemas.openxmlformats.org/drawingml/2006/main">
                <a:ext uri="{FF2B5EF4-FFF2-40B4-BE49-F238E27FC236}">
                  <a16:creationId xmlns:a16="http://schemas.microsoft.com/office/drawing/2014/main" id="{3B96C41D-FF10-4444-8CEE-F71C69754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24031A">
        <w:t>Figure A1: Annual Cash Flow of Undiscounted Benefits and Costs</w:t>
      </w:r>
    </w:p>
    <w:p w14:paraId="079426CE" w14:textId="77777777" w:rsidR="0024031A" w:rsidRDefault="0024031A" w:rsidP="00D64FA3">
      <w:pPr>
        <w:pStyle w:val="Heading2"/>
      </w:pPr>
      <w:r>
        <w:lastRenderedPageBreak/>
        <w:t>Sensitivity Analyses</w:t>
      </w:r>
    </w:p>
    <w:p w14:paraId="59A16C4D" w14:textId="77777777" w:rsidR="0024031A" w:rsidRDefault="0024031A" w:rsidP="0024031A">
      <w:pPr>
        <w:pStyle w:val="BodyCopy"/>
      </w:pPr>
      <w:r>
        <w:t>Sensitivity analyses were carried out for two variables and results are reported in Table A10 and Table A11. The sensitivity analyses were performed on the total investment using a 5% discount rate (</w:t>
      </w:r>
      <w:proofErr w:type="gramStart"/>
      <w:r>
        <w:t>with the exception of</w:t>
      </w:r>
      <w:proofErr w:type="gramEnd"/>
      <w:r>
        <w:t xml:space="preserve"> Table A10) with benefits taken over the 30-year period. All other parameters were held at their base values. </w:t>
      </w:r>
    </w:p>
    <w:p w14:paraId="20C49A0B" w14:textId="77777777" w:rsidR="0024031A" w:rsidRDefault="0024031A" w:rsidP="0024031A">
      <w:pPr>
        <w:pStyle w:val="BodyCopy"/>
      </w:pPr>
      <w:r>
        <w:t xml:space="preserve">Table A10 shows there is a moderately to low sensitivity to the discount rate. This is largely </w:t>
      </w:r>
      <w:proofErr w:type="gramStart"/>
      <w:r>
        <w:t>due to the fact that</w:t>
      </w:r>
      <w:proofErr w:type="gramEnd"/>
      <w:r>
        <w:t xml:space="preserve"> the cash flows occur soon after the end of the investment period.</w:t>
      </w:r>
    </w:p>
    <w:p w14:paraId="5B34BD9B" w14:textId="5A832B0C" w:rsidR="0024031A" w:rsidRDefault="0024031A" w:rsidP="00D64FA3">
      <w:pPr>
        <w:pStyle w:val="TableHeading"/>
      </w:pPr>
      <w:r>
        <w:t>Table A10: Sensitivity to Discount Rate</w:t>
      </w:r>
      <w:r w:rsidR="00D64FA3">
        <w:t xml:space="preserve"> </w:t>
      </w:r>
      <w:r>
        <w:t>(Total Investment, 30 years)</w:t>
      </w:r>
    </w:p>
    <w:tbl>
      <w:tblPr>
        <w:tblStyle w:val="SRATable"/>
        <w:tblW w:w="9067" w:type="dxa"/>
        <w:tblLayout w:type="fixed"/>
        <w:tblLook w:val="0000" w:firstRow="0" w:lastRow="0" w:firstColumn="0" w:lastColumn="0" w:noHBand="0" w:noVBand="0"/>
      </w:tblPr>
      <w:tblGrid>
        <w:gridCol w:w="3262"/>
        <w:gridCol w:w="1935"/>
        <w:gridCol w:w="1935"/>
        <w:gridCol w:w="1935"/>
      </w:tblGrid>
      <w:tr w:rsidR="00D64FA3" w:rsidRPr="000D47F6" w14:paraId="71D05DF1" w14:textId="77777777" w:rsidTr="009E7CC2">
        <w:tc>
          <w:tcPr>
            <w:tcW w:w="3262" w:type="dxa"/>
            <w:vMerge w:val="restart"/>
            <w:shd w:val="clear" w:color="auto" w:fill="CBDCE0"/>
          </w:tcPr>
          <w:p w14:paraId="7517432C" w14:textId="77777777" w:rsidR="00D64FA3" w:rsidRPr="000D47F6" w:rsidRDefault="00D64FA3" w:rsidP="00D64FA3">
            <w:pPr>
              <w:pStyle w:val="TableDataHeading"/>
            </w:pPr>
            <w:r w:rsidRPr="000D47F6">
              <w:t>Criterion</w:t>
            </w:r>
          </w:p>
        </w:tc>
        <w:tc>
          <w:tcPr>
            <w:tcW w:w="5805" w:type="dxa"/>
            <w:gridSpan w:val="3"/>
            <w:shd w:val="clear" w:color="auto" w:fill="CBDCE0"/>
          </w:tcPr>
          <w:p w14:paraId="1878EAB2" w14:textId="733F4F4D" w:rsidR="00D64FA3" w:rsidRPr="000D47F6" w:rsidRDefault="00D64FA3" w:rsidP="009E7CC2">
            <w:pPr>
              <w:pStyle w:val="TableDataHeading"/>
              <w:jc w:val="center"/>
            </w:pPr>
            <w:r w:rsidRPr="000D47F6">
              <w:t>Discount Rate</w:t>
            </w:r>
          </w:p>
        </w:tc>
      </w:tr>
      <w:tr w:rsidR="00D64FA3" w:rsidRPr="000D47F6" w14:paraId="4C0B3DFA" w14:textId="77777777" w:rsidTr="00D64FA3">
        <w:trPr>
          <w:trHeight w:val="313"/>
        </w:trPr>
        <w:tc>
          <w:tcPr>
            <w:tcW w:w="3262" w:type="dxa"/>
            <w:vMerge/>
          </w:tcPr>
          <w:p w14:paraId="61B0D7FE" w14:textId="77777777" w:rsidR="00D64FA3" w:rsidRPr="000D47F6" w:rsidRDefault="00D64FA3" w:rsidP="00D64FA3">
            <w:pPr>
              <w:pStyle w:val="TableDataHeading"/>
            </w:pPr>
          </w:p>
        </w:tc>
        <w:tc>
          <w:tcPr>
            <w:tcW w:w="1935" w:type="dxa"/>
          </w:tcPr>
          <w:p w14:paraId="585B0569" w14:textId="77777777" w:rsidR="00D64FA3" w:rsidRPr="000D47F6" w:rsidRDefault="00D64FA3" w:rsidP="00D64FA3">
            <w:pPr>
              <w:pStyle w:val="TableDataHeading"/>
              <w:jc w:val="center"/>
            </w:pPr>
            <w:r w:rsidRPr="000D47F6">
              <w:t>0%</w:t>
            </w:r>
          </w:p>
        </w:tc>
        <w:tc>
          <w:tcPr>
            <w:tcW w:w="1935" w:type="dxa"/>
          </w:tcPr>
          <w:p w14:paraId="36EB7AB1" w14:textId="77777777" w:rsidR="00D64FA3" w:rsidRPr="000D47F6" w:rsidRDefault="00D64FA3" w:rsidP="00D64FA3">
            <w:pPr>
              <w:pStyle w:val="TableDataHeading"/>
              <w:jc w:val="center"/>
            </w:pPr>
            <w:r w:rsidRPr="000D47F6">
              <w:t>Base (5%)</w:t>
            </w:r>
          </w:p>
        </w:tc>
        <w:tc>
          <w:tcPr>
            <w:tcW w:w="1935" w:type="dxa"/>
          </w:tcPr>
          <w:p w14:paraId="02CEA136" w14:textId="77777777" w:rsidR="00D64FA3" w:rsidRPr="000D47F6" w:rsidRDefault="00D64FA3" w:rsidP="00D64FA3">
            <w:pPr>
              <w:pStyle w:val="TableDataHeading"/>
              <w:jc w:val="center"/>
            </w:pPr>
            <w:r w:rsidRPr="000D47F6">
              <w:t>10%</w:t>
            </w:r>
          </w:p>
        </w:tc>
      </w:tr>
      <w:tr w:rsidR="00D64FA3" w:rsidRPr="000D47F6" w14:paraId="6BA6392D" w14:textId="77777777" w:rsidTr="00D64FA3">
        <w:tc>
          <w:tcPr>
            <w:tcW w:w="3262" w:type="dxa"/>
          </w:tcPr>
          <w:p w14:paraId="665583DA" w14:textId="77777777" w:rsidR="00D64FA3" w:rsidRPr="000D47F6" w:rsidRDefault="00D64FA3" w:rsidP="00D64FA3">
            <w:pPr>
              <w:pStyle w:val="Tabledata"/>
            </w:pPr>
            <w:r w:rsidRPr="000D47F6">
              <w:t>Present value of benefits (</w:t>
            </w:r>
            <w:r>
              <w:t>$m</w:t>
            </w:r>
            <w:r w:rsidRPr="000D47F6">
              <w:t>)</w:t>
            </w:r>
          </w:p>
        </w:tc>
        <w:tc>
          <w:tcPr>
            <w:tcW w:w="1935" w:type="dxa"/>
          </w:tcPr>
          <w:p w14:paraId="79B01F7A" w14:textId="77777777" w:rsidR="00D64FA3" w:rsidRPr="002466AC" w:rsidRDefault="00D64FA3" w:rsidP="00D64FA3">
            <w:pPr>
              <w:pStyle w:val="Tabledata"/>
              <w:jc w:val="center"/>
              <w:rPr>
                <w:sz w:val="20"/>
                <w:szCs w:val="20"/>
              </w:rPr>
            </w:pPr>
            <w:r>
              <w:rPr>
                <w:color w:val="000000"/>
              </w:rPr>
              <w:t>2.76</w:t>
            </w:r>
          </w:p>
        </w:tc>
        <w:tc>
          <w:tcPr>
            <w:tcW w:w="1935" w:type="dxa"/>
          </w:tcPr>
          <w:p w14:paraId="74B490FD" w14:textId="77777777" w:rsidR="00D64FA3" w:rsidRPr="002466AC" w:rsidRDefault="00D64FA3" w:rsidP="00D64FA3">
            <w:pPr>
              <w:pStyle w:val="Tabledata"/>
              <w:jc w:val="center"/>
              <w:rPr>
                <w:sz w:val="20"/>
                <w:szCs w:val="20"/>
              </w:rPr>
            </w:pPr>
            <w:r>
              <w:rPr>
                <w:color w:val="000000"/>
              </w:rPr>
              <w:t>2.12</w:t>
            </w:r>
          </w:p>
        </w:tc>
        <w:tc>
          <w:tcPr>
            <w:tcW w:w="1935" w:type="dxa"/>
          </w:tcPr>
          <w:p w14:paraId="4E2B3BE9" w14:textId="77777777" w:rsidR="00D64FA3" w:rsidRPr="002466AC" w:rsidRDefault="00D64FA3" w:rsidP="00D64FA3">
            <w:pPr>
              <w:pStyle w:val="Tabledata"/>
              <w:jc w:val="center"/>
              <w:rPr>
                <w:sz w:val="20"/>
                <w:szCs w:val="20"/>
              </w:rPr>
            </w:pPr>
            <w:r>
              <w:rPr>
                <w:color w:val="000000"/>
              </w:rPr>
              <w:t>1.67</w:t>
            </w:r>
          </w:p>
        </w:tc>
      </w:tr>
      <w:tr w:rsidR="00D64FA3" w:rsidRPr="000D47F6" w14:paraId="13452C1A" w14:textId="77777777" w:rsidTr="00D64FA3">
        <w:tc>
          <w:tcPr>
            <w:tcW w:w="3262" w:type="dxa"/>
          </w:tcPr>
          <w:p w14:paraId="62EC63E3" w14:textId="77777777" w:rsidR="00D64FA3" w:rsidRPr="000D47F6" w:rsidRDefault="00D64FA3" w:rsidP="00D64FA3">
            <w:pPr>
              <w:pStyle w:val="Tabledata"/>
            </w:pPr>
            <w:r w:rsidRPr="000D47F6">
              <w:t>Present value of costs (</w:t>
            </w:r>
            <w:r>
              <w:t>$m</w:t>
            </w:r>
            <w:r w:rsidRPr="000D47F6">
              <w:t>)</w:t>
            </w:r>
          </w:p>
        </w:tc>
        <w:tc>
          <w:tcPr>
            <w:tcW w:w="1935" w:type="dxa"/>
          </w:tcPr>
          <w:p w14:paraId="21C0F513" w14:textId="77777777" w:rsidR="00D64FA3" w:rsidRPr="002466AC" w:rsidRDefault="00D64FA3" w:rsidP="00D64FA3">
            <w:pPr>
              <w:pStyle w:val="Tabledata"/>
              <w:jc w:val="center"/>
              <w:rPr>
                <w:sz w:val="20"/>
                <w:szCs w:val="20"/>
              </w:rPr>
            </w:pPr>
            <w:r>
              <w:rPr>
                <w:color w:val="000000"/>
              </w:rPr>
              <w:t>1.55</w:t>
            </w:r>
          </w:p>
        </w:tc>
        <w:tc>
          <w:tcPr>
            <w:tcW w:w="1935" w:type="dxa"/>
          </w:tcPr>
          <w:p w14:paraId="0286AC2D" w14:textId="77777777" w:rsidR="00D64FA3" w:rsidRPr="002466AC" w:rsidRDefault="00D64FA3" w:rsidP="00D64FA3">
            <w:pPr>
              <w:pStyle w:val="Tabledata"/>
              <w:jc w:val="center"/>
              <w:rPr>
                <w:sz w:val="20"/>
                <w:szCs w:val="20"/>
              </w:rPr>
            </w:pPr>
            <w:r>
              <w:rPr>
                <w:color w:val="000000"/>
              </w:rPr>
              <w:t>1.75</w:t>
            </w:r>
          </w:p>
        </w:tc>
        <w:tc>
          <w:tcPr>
            <w:tcW w:w="1935" w:type="dxa"/>
          </w:tcPr>
          <w:p w14:paraId="0387FEC3" w14:textId="77777777" w:rsidR="00D64FA3" w:rsidRPr="002466AC" w:rsidRDefault="00D64FA3" w:rsidP="00D64FA3">
            <w:pPr>
              <w:pStyle w:val="Tabledata"/>
              <w:jc w:val="center"/>
              <w:rPr>
                <w:sz w:val="20"/>
                <w:szCs w:val="20"/>
              </w:rPr>
            </w:pPr>
            <w:r>
              <w:rPr>
                <w:color w:val="000000"/>
              </w:rPr>
              <w:t>1.97</w:t>
            </w:r>
          </w:p>
        </w:tc>
      </w:tr>
      <w:tr w:rsidR="00D64FA3" w:rsidRPr="000D47F6" w14:paraId="7B9F94F0" w14:textId="77777777" w:rsidTr="00D64FA3">
        <w:tc>
          <w:tcPr>
            <w:tcW w:w="3262" w:type="dxa"/>
          </w:tcPr>
          <w:p w14:paraId="5FB9A0D3" w14:textId="77777777" w:rsidR="00D64FA3" w:rsidRPr="000D47F6" w:rsidRDefault="00D64FA3" w:rsidP="00D64FA3">
            <w:pPr>
              <w:pStyle w:val="Tabledata"/>
            </w:pPr>
            <w:r w:rsidRPr="000D47F6">
              <w:t>Net present value (</w:t>
            </w:r>
            <w:r>
              <w:t>$m</w:t>
            </w:r>
            <w:r w:rsidRPr="000D47F6">
              <w:t>)</w:t>
            </w:r>
          </w:p>
        </w:tc>
        <w:tc>
          <w:tcPr>
            <w:tcW w:w="1935" w:type="dxa"/>
          </w:tcPr>
          <w:p w14:paraId="6F5BA2DE" w14:textId="77777777" w:rsidR="00D64FA3" w:rsidRPr="002466AC" w:rsidRDefault="00D64FA3" w:rsidP="00D64FA3">
            <w:pPr>
              <w:pStyle w:val="Tabledata"/>
              <w:jc w:val="center"/>
              <w:rPr>
                <w:sz w:val="20"/>
                <w:szCs w:val="20"/>
              </w:rPr>
            </w:pPr>
            <w:r>
              <w:rPr>
                <w:color w:val="000000"/>
              </w:rPr>
              <w:t>1.21</w:t>
            </w:r>
          </w:p>
        </w:tc>
        <w:tc>
          <w:tcPr>
            <w:tcW w:w="1935" w:type="dxa"/>
          </w:tcPr>
          <w:p w14:paraId="2984097F" w14:textId="77777777" w:rsidR="00D64FA3" w:rsidRPr="002466AC" w:rsidRDefault="00D64FA3" w:rsidP="00D64FA3">
            <w:pPr>
              <w:pStyle w:val="Tabledata"/>
              <w:jc w:val="center"/>
              <w:rPr>
                <w:sz w:val="20"/>
                <w:szCs w:val="20"/>
              </w:rPr>
            </w:pPr>
            <w:r>
              <w:rPr>
                <w:color w:val="000000"/>
              </w:rPr>
              <w:t>0.37</w:t>
            </w:r>
          </w:p>
        </w:tc>
        <w:tc>
          <w:tcPr>
            <w:tcW w:w="1935" w:type="dxa"/>
          </w:tcPr>
          <w:p w14:paraId="496D27E0" w14:textId="77777777" w:rsidR="00D64FA3" w:rsidRPr="002466AC" w:rsidRDefault="00D64FA3" w:rsidP="00D64FA3">
            <w:pPr>
              <w:pStyle w:val="Tabledata"/>
              <w:jc w:val="center"/>
              <w:rPr>
                <w:sz w:val="20"/>
                <w:szCs w:val="20"/>
              </w:rPr>
            </w:pPr>
            <w:r>
              <w:rPr>
                <w:color w:val="000000"/>
              </w:rPr>
              <w:t>-0.30</w:t>
            </w:r>
          </w:p>
        </w:tc>
      </w:tr>
      <w:tr w:rsidR="00D64FA3" w:rsidRPr="000D47F6" w14:paraId="474E48B7" w14:textId="77777777" w:rsidTr="00D64FA3">
        <w:tc>
          <w:tcPr>
            <w:tcW w:w="3262" w:type="dxa"/>
          </w:tcPr>
          <w:p w14:paraId="3421AFDA" w14:textId="77777777" w:rsidR="00D64FA3" w:rsidRPr="000D47F6" w:rsidRDefault="00D64FA3" w:rsidP="00D64FA3">
            <w:pPr>
              <w:pStyle w:val="Tabledata"/>
            </w:pPr>
            <w:r w:rsidRPr="000D47F6">
              <w:t>Benefit-cost ratio</w:t>
            </w:r>
          </w:p>
        </w:tc>
        <w:tc>
          <w:tcPr>
            <w:tcW w:w="1935" w:type="dxa"/>
          </w:tcPr>
          <w:p w14:paraId="0B6410FF" w14:textId="77777777" w:rsidR="00D64FA3" w:rsidRPr="002466AC" w:rsidRDefault="00D64FA3" w:rsidP="00D64FA3">
            <w:pPr>
              <w:pStyle w:val="Tabledata"/>
              <w:jc w:val="center"/>
              <w:rPr>
                <w:sz w:val="20"/>
                <w:szCs w:val="20"/>
              </w:rPr>
            </w:pPr>
            <w:r>
              <w:rPr>
                <w:color w:val="000000"/>
              </w:rPr>
              <w:t>1.78</w:t>
            </w:r>
          </w:p>
        </w:tc>
        <w:tc>
          <w:tcPr>
            <w:tcW w:w="1935" w:type="dxa"/>
          </w:tcPr>
          <w:p w14:paraId="18ECAF1A" w14:textId="77777777" w:rsidR="00D64FA3" w:rsidRPr="002466AC" w:rsidRDefault="00D64FA3" w:rsidP="00D64FA3">
            <w:pPr>
              <w:pStyle w:val="Tabledata"/>
              <w:jc w:val="center"/>
              <w:rPr>
                <w:sz w:val="20"/>
                <w:szCs w:val="20"/>
              </w:rPr>
            </w:pPr>
            <w:r>
              <w:rPr>
                <w:color w:val="000000"/>
              </w:rPr>
              <w:t>1.21</w:t>
            </w:r>
          </w:p>
        </w:tc>
        <w:tc>
          <w:tcPr>
            <w:tcW w:w="1935" w:type="dxa"/>
          </w:tcPr>
          <w:p w14:paraId="4B062F38" w14:textId="77777777" w:rsidR="00D64FA3" w:rsidRPr="002466AC" w:rsidRDefault="00D64FA3" w:rsidP="00D64FA3">
            <w:pPr>
              <w:pStyle w:val="Tabledata"/>
              <w:jc w:val="center"/>
              <w:rPr>
                <w:sz w:val="20"/>
                <w:szCs w:val="20"/>
              </w:rPr>
            </w:pPr>
            <w:r>
              <w:rPr>
                <w:color w:val="000000"/>
              </w:rPr>
              <w:t>0.85</w:t>
            </w:r>
          </w:p>
        </w:tc>
      </w:tr>
    </w:tbl>
    <w:p w14:paraId="3A0981AD" w14:textId="77777777" w:rsidR="0024031A" w:rsidRDefault="0024031A" w:rsidP="0024031A">
      <w:pPr>
        <w:pStyle w:val="BodyCopy"/>
      </w:pPr>
    </w:p>
    <w:p w14:paraId="19C0A6FC" w14:textId="77777777" w:rsidR="0024031A" w:rsidRDefault="0024031A" w:rsidP="0024031A">
      <w:pPr>
        <w:pStyle w:val="BodyCopy"/>
      </w:pPr>
      <w:r>
        <w:t xml:space="preserve">Table A11 provides an optimistic/pessimistic sensitivity of the investment criteria to the (1) the assumed area adopting change to increase NUE </w:t>
      </w:r>
      <w:proofErr w:type="gramStart"/>
      <w:r>
        <w:t>as a result of</w:t>
      </w:r>
      <w:proofErr w:type="gramEnd"/>
      <w:r>
        <w:t xml:space="preserve"> the project, and (2) the N savings achieved as a result of such changes.</w:t>
      </w:r>
    </w:p>
    <w:p w14:paraId="4B583540" w14:textId="512CEB52" w:rsidR="0024031A" w:rsidRDefault="0024031A" w:rsidP="0024031A">
      <w:pPr>
        <w:pStyle w:val="BodyCopy"/>
      </w:pPr>
      <w:r>
        <w:t xml:space="preserve">Table A11 shows that the investment criteria are moderately sensitive to the key assumptions associated with the applicable adoption area and N savings. </w:t>
      </w:r>
    </w:p>
    <w:p w14:paraId="1A1AC5A0" w14:textId="676D60FB" w:rsidR="0024031A" w:rsidRDefault="0024031A" w:rsidP="00D64FA3">
      <w:pPr>
        <w:pStyle w:val="TableHeading"/>
      </w:pPr>
      <w:r>
        <w:t>Table A11: Optimistic/Pessimistic Sensitivity to Area of Adoption and N Savings</w:t>
      </w:r>
      <w:r w:rsidR="00D64FA3">
        <w:t xml:space="preserve"> </w:t>
      </w:r>
      <w:r>
        <w:t>(Total Investment, 5% discount rate, 30 years)</w:t>
      </w:r>
    </w:p>
    <w:tbl>
      <w:tblPr>
        <w:tblStyle w:val="SRATable"/>
        <w:tblW w:w="9067" w:type="dxa"/>
        <w:tblLayout w:type="fixed"/>
        <w:tblLook w:val="0000" w:firstRow="0" w:lastRow="0" w:firstColumn="0" w:lastColumn="0" w:noHBand="0" w:noVBand="0"/>
      </w:tblPr>
      <w:tblGrid>
        <w:gridCol w:w="2689"/>
        <w:gridCol w:w="2126"/>
        <w:gridCol w:w="2126"/>
        <w:gridCol w:w="2126"/>
      </w:tblGrid>
      <w:tr w:rsidR="00D64FA3" w:rsidRPr="0098293D" w14:paraId="6BD248BB" w14:textId="77777777" w:rsidTr="009E7CC2">
        <w:tc>
          <w:tcPr>
            <w:tcW w:w="2689" w:type="dxa"/>
            <w:vMerge w:val="restart"/>
            <w:shd w:val="clear" w:color="auto" w:fill="CBDCE0"/>
          </w:tcPr>
          <w:p w14:paraId="6A2E61E3" w14:textId="77777777" w:rsidR="00D64FA3" w:rsidRPr="0098293D" w:rsidRDefault="00D64FA3" w:rsidP="00D64FA3">
            <w:pPr>
              <w:pStyle w:val="TableDataHeading"/>
            </w:pPr>
            <w:r w:rsidRPr="0098293D">
              <w:t>Criterion</w:t>
            </w:r>
          </w:p>
        </w:tc>
        <w:tc>
          <w:tcPr>
            <w:tcW w:w="6378" w:type="dxa"/>
            <w:gridSpan w:val="3"/>
            <w:shd w:val="clear" w:color="auto" w:fill="CBDCE0"/>
          </w:tcPr>
          <w:p w14:paraId="106E201A" w14:textId="77777777" w:rsidR="00D64FA3" w:rsidRPr="0098293D" w:rsidRDefault="00D64FA3" w:rsidP="009E7CC2">
            <w:pPr>
              <w:pStyle w:val="TableDataHeading"/>
              <w:jc w:val="center"/>
            </w:pPr>
            <w:r>
              <w:t>Area of Adoption and N Savings</w:t>
            </w:r>
          </w:p>
        </w:tc>
      </w:tr>
      <w:tr w:rsidR="00D64FA3" w:rsidRPr="0098293D" w14:paraId="54C3A21D" w14:textId="77777777" w:rsidTr="00D64FA3">
        <w:trPr>
          <w:trHeight w:val="267"/>
        </w:trPr>
        <w:tc>
          <w:tcPr>
            <w:tcW w:w="2689" w:type="dxa"/>
            <w:vMerge/>
          </w:tcPr>
          <w:p w14:paraId="7D3D0C1D" w14:textId="77777777" w:rsidR="00D64FA3" w:rsidRPr="0098293D" w:rsidRDefault="00D64FA3" w:rsidP="00D97EF2">
            <w:pPr>
              <w:suppressAutoHyphens/>
              <w:spacing w:after="220"/>
              <w:jc w:val="center"/>
              <w:rPr>
                <w:rFonts w:cs="Arial"/>
                <w:color w:val="3D4455" w:themeColor="text1"/>
              </w:rPr>
            </w:pPr>
          </w:p>
        </w:tc>
        <w:tc>
          <w:tcPr>
            <w:tcW w:w="2126" w:type="dxa"/>
          </w:tcPr>
          <w:p w14:paraId="543687FD" w14:textId="06BBE4D3" w:rsidR="00D64FA3" w:rsidRPr="0098293D" w:rsidRDefault="00D64FA3" w:rsidP="00D64FA3">
            <w:pPr>
              <w:pStyle w:val="Tabledata"/>
            </w:pPr>
            <w:r>
              <w:t>Pessimistic</w:t>
            </w:r>
            <w:r>
              <w:br/>
              <w:t>0.5x Base estimates</w:t>
            </w:r>
            <w:r>
              <w:br/>
              <w:t>(5%, 10%)</w:t>
            </w:r>
          </w:p>
        </w:tc>
        <w:tc>
          <w:tcPr>
            <w:tcW w:w="2126" w:type="dxa"/>
          </w:tcPr>
          <w:p w14:paraId="00B24DD2" w14:textId="42F6BF41" w:rsidR="00D64FA3" w:rsidRPr="0098293D" w:rsidRDefault="00D64FA3" w:rsidP="00D64FA3">
            <w:pPr>
              <w:pStyle w:val="Tabledata"/>
            </w:pPr>
            <w:r>
              <w:t>Base</w:t>
            </w:r>
            <w:r>
              <w:br/>
              <w:t>Adoption 10%</w:t>
            </w:r>
            <w:r>
              <w:br/>
              <w:t>N Saving 20%</w:t>
            </w:r>
          </w:p>
        </w:tc>
        <w:tc>
          <w:tcPr>
            <w:tcW w:w="2126" w:type="dxa"/>
          </w:tcPr>
          <w:p w14:paraId="53601B40" w14:textId="77777777" w:rsidR="00D64FA3" w:rsidRDefault="00D64FA3" w:rsidP="00D64FA3">
            <w:pPr>
              <w:pStyle w:val="Tabledata"/>
            </w:pPr>
            <w:r>
              <w:t>Optimistic</w:t>
            </w:r>
          </w:p>
          <w:p w14:paraId="2902354D" w14:textId="77777777" w:rsidR="00D64FA3" w:rsidRPr="0098293D" w:rsidRDefault="00D64FA3" w:rsidP="00D64FA3">
            <w:pPr>
              <w:pStyle w:val="Tabledata"/>
            </w:pPr>
            <w:r>
              <w:t>1.25x Base estimates (12.5%, 25%)</w:t>
            </w:r>
          </w:p>
        </w:tc>
      </w:tr>
      <w:tr w:rsidR="00D64FA3" w:rsidRPr="0098293D" w14:paraId="18C94AD4" w14:textId="77777777" w:rsidTr="00D64FA3">
        <w:trPr>
          <w:trHeight w:val="139"/>
        </w:trPr>
        <w:tc>
          <w:tcPr>
            <w:tcW w:w="2689" w:type="dxa"/>
          </w:tcPr>
          <w:p w14:paraId="702F15E3" w14:textId="77777777" w:rsidR="00D64FA3" w:rsidRPr="0098293D" w:rsidRDefault="00D64FA3" w:rsidP="00D64FA3">
            <w:pPr>
              <w:pStyle w:val="Tabledata"/>
            </w:pPr>
            <w:r w:rsidRPr="0098293D">
              <w:t>Present value of benefits (</w:t>
            </w:r>
            <w:r>
              <w:t>$m</w:t>
            </w:r>
            <w:r w:rsidRPr="0098293D">
              <w:t>)</w:t>
            </w:r>
          </w:p>
        </w:tc>
        <w:tc>
          <w:tcPr>
            <w:tcW w:w="2126" w:type="dxa"/>
          </w:tcPr>
          <w:p w14:paraId="5967A01F" w14:textId="77777777" w:rsidR="00D64FA3" w:rsidRPr="00510285" w:rsidRDefault="00D64FA3" w:rsidP="00D64FA3">
            <w:pPr>
              <w:pStyle w:val="Tabledata"/>
              <w:rPr>
                <w:color w:val="FF0000"/>
                <w:sz w:val="20"/>
                <w:szCs w:val="20"/>
              </w:rPr>
            </w:pPr>
            <w:r>
              <w:rPr>
                <w:color w:val="000000"/>
              </w:rPr>
              <w:t>0.53</w:t>
            </w:r>
          </w:p>
        </w:tc>
        <w:tc>
          <w:tcPr>
            <w:tcW w:w="2126" w:type="dxa"/>
          </w:tcPr>
          <w:p w14:paraId="7776AC6F" w14:textId="77777777" w:rsidR="00D64FA3" w:rsidRPr="002466AC" w:rsidRDefault="00D64FA3" w:rsidP="00D64FA3">
            <w:pPr>
              <w:pStyle w:val="Tabledata"/>
              <w:rPr>
                <w:sz w:val="20"/>
                <w:szCs w:val="20"/>
              </w:rPr>
            </w:pPr>
            <w:r>
              <w:rPr>
                <w:color w:val="000000"/>
              </w:rPr>
              <w:t>2.12</w:t>
            </w:r>
          </w:p>
        </w:tc>
        <w:tc>
          <w:tcPr>
            <w:tcW w:w="2126" w:type="dxa"/>
          </w:tcPr>
          <w:p w14:paraId="1EC22319" w14:textId="77777777" w:rsidR="00D64FA3" w:rsidRPr="00510285" w:rsidRDefault="00D64FA3" w:rsidP="00D64FA3">
            <w:pPr>
              <w:pStyle w:val="Tabledata"/>
              <w:rPr>
                <w:color w:val="FF0000"/>
                <w:sz w:val="20"/>
                <w:szCs w:val="20"/>
              </w:rPr>
            </w:pPr>
            <w:r>
              <w:rPr>
                <w:color w:val="000000"/>
              </w:rPr>
              <w:t>3.31</w:t>
            </w:r>
          </w:p>
        </w:tc>
      </w:tr>
      <w:tr w:rsidR="00D64FA3" w:rsidRPr="0098293D" w14:paraId="17F0E6BF" w14:textId="77777777" w:rsidTr="00D64FA3">
        <w:tc>
          <w:tcPr>
            <w:tcW w:w="2689" w:type="dxa"/>
          </w:tcPr>
          <w:p w14:paraId="7D486B32" w14:textId="77777777" w:rsidR="00D64FA3" w:rsidRPr="0098293D" w:rsidRDefault="00D64FA3" w:rsidP="00D64FA3">
            <w:pPr>
              <w:pStyle w:val="Tabledata"/>
            </w:pPr>
            <w:r w:rsidRPr="0098293D">
              <w:t>Present value of costs (</w:t>
            </w:r>
            <w:r>
              <w:t>$m</w:t>
            </w:r>
            <w:r w:rsidRPr="0098293D">
              <w:t>)</w:t>
            </w:r>
          </w:p>
        </w:tc>
        <w:tc>
          <w:tcPr>
            <w:tcW w:w="2126" w:type="dxa"/>
          </w:tcPr>
          <w:p w14:paraId="5E45689B" w14:textId="77777777" w:rsidR="00D64FA3" w:rsidRPr="00510285" w:rsidRDefault="00D64FA3" w:rsidP="00D64FA3">
            <w:pPr>
              <w:pStyle w:val="Tabledata"/>
              <w:rPr>
                <w:color w:val="FF0000"/>
                <w:sz w:val="20"/>
                <w:szCs w:val="20"/>
              </w:rPr>
            </w:pPr>
            <w:r>
              <w:rPr>
                <w:color w:val="000000"/>
              </w:rPr>
              <w:t>1.75</w:t>
            </w:r>
          </w:p>
        </w:tc>
        <w:tc>
          <w:tcPr>
            <w:tcW w:w="2126" w:type="dxa"/>
          </w:tcPr>
          <w:p w14:paraId="27CADD80" w14:textId="77777777" w:rsidR="00D64FA3" w:rsidRPr="002466AC" w:rsidRDefault="00D64FA3" w:rsidP="00D64FA3">
            <w:pPr>
              <w:pStyle w:val="Tabledata"/>
              <w:rPr>
                <w:sz w:val="20"/>
                <w:szCs w:val="20"/>
              </w:rPr>
            </w:pPr>
            <w:r>
              <w:rPr>
                <w:color w:val="000000"/>
              </w:rPr>
              <w:t>1.75</w:t>
            </w:r>
          </w:p>
        </w:tc>
        <w:tc>
          <w:tcPr>
            <w:tcW w:w="2126" w:type="dxa"/>
          </w:tcPr>
          <w:p w14:paraId="2CA02D26" w14:textId="77777777" w:rsidR="00D64FA3" w:rsidRPr="00510285" w:rsidRDefault="00D64FA3" w:rsidP="00D64FA3">
            <w:pPr>
              <w:pStyle w:val="Tabledata"/>
              <w:rPr>
                <w:color w:val="FF0000"/>
                <w:sz w:val="20"/>
                <w:szCs w:val="20"/>
              </w:rPr>
            </w:pPr>
            <w:r>
              <w:rPr>
                <w:color w:val="000000"/>
              </w:rPr>
              <w:t>1.75</w:t>
            </w:r>
          </w:p>
        </w:tc>
      </w:tr>
      <w:tr w:rsidR="00D64FA3" w:rsidRPr="0098293D" w14:paraId="279E1F24" w14:textId="77777777" w:rsidTr="00D64FA3">
        <w:tc>
          <w:tcPr>
            <w:tcW w:w="2689" w:type="dxa"/>
          </w:tcPr>
          <w:p w14:paraId="0FD0DBFF" w14:textId="77777777" w:rsidR="00D64FA3" w:rsidRPr="0098293D" w:rsidRDefault="00D64FA3" w:rsidP="00D64FA3">
            <w:pPr>
              <w:pStyle w:val="Tabledata"/>
            </w:pPr>
            <w:r w:rsidRPr="0098293D">
              <w:t>Net present value (</w:t>
            </w:r>
            <w:r>
              <w:t>$m</w:t>
            </w:r>
            <w:r w:rsidRPr="0098293D">
              <w:t>)</w:t>
            </w:r>
          </w:p>
        </w:tc>
        <w:tc>
          <w:tcPr>
            <w:tcW w:w="2126" w:type="dxa"/>
          </w:tcPr>
          <w:p w14:paraId="5A94785D" w14:textId="77777777" w:rsidR="00D64FA3" w:rsidRPr="00510285" w:rsidRDefault="00D64FA3" w:rsidP="00D64FA3">
            <w:pPr>
              <w:pStyle w:val="Tabledata"/>
              <w:rPr>
                <w:color w:val="FF0000"/>
                <w:sz w:val="20"/>
                <w:szCs w:val="20"/>
              </w:rPr>
            </w:pPr>
            <w:r>
              <w:rPr>
                <w:color w:val="000000"/>
              </w:rPr>
              <w:t>-1.22</w:t>
            </w:r>
          </w:p>
        </w:tc>
        <w:tc>
          <w:tcPr>
            <w:tcW w:w="2126" w:type="dxa"/>
          </w:tcPr>
          <w:p w14:paraId="0CDA6081" w14:textId="77777777" w:rsidR="00D64FA3" w:rsidRPr="002466AC" w:rsidRDefault="00D64FA3" w:rsidP="00D64FA3">
            <w:pPr>
              <w:pStyle w:val="Tabledata"/>
              <w:rPr>
                <w:sz w:val="20"/>
                <w:szCs w:val="20"/>
              </w:rPr>
            </w:pPr>
            <w:r>
              <w:rPr>
                <w:color w:val="000000"/>
              </w:rPr>
              <w:t>0.37</w:t>
            </w:r>
          </w:p>
        </w:tc>
        <w:tc>
          <w:tcPr>
            <w:tcW w:w="2126" w:type="dxa"/>
          </w:tcPr>
          <w:p w14:paraId="30B4EABD" w14:textId="77777777" w:rsidR="00D64FA3" w:rsidRPr="00510285" w:rsidRDefault="00D64FA3" w:rsidP="00D64FA3">
            <w:pPr>
              <w:pStyle w:val="Tabledata"/>
              <w:rPr>
                <w:color w:val="FF0000"/>
                <w:sz w:val="20"/>
                <w:szCs w:val="20"/>
              </w:rPr>
            </w:pPr>
            <w:r>
              <w:rPr>
                <w:color w:val="000000"/>
              </w:rPr>
              <w:t>1.57</w:t>
            </w:r>
          </w:p>
        </w:tc>
      </w:tr>
      <w:tr w:rsidR="00D64FA3" w:rsidRPr="0098293D" w14:paraId="560F6DAF" w14:textId="77777777" w:rsidTr="00D64FA3">
        <w:tc>
          <w:tcPr>
            <w:tcW w:w="2689" w:type="dxa"/>
          </w:tcPr>
          <w:p w14:paraId="781D70AE" w14:textId="77777777" w:rsidR="00D64FA3" w:rsidRPr="0098293D" w:rsidRDefault="00D64FA3" w:rsidP="00D64FA3">
            <w:pPr>
              <w:pStyle w:val="Tabledata"/>
            </w:pPr>
            <w:r w:rsidRPr="0098293D">
              <w:t>Benefit-cost ratio</w:t>
            </w:r>
          </w:p>
        </w:tc>
        <w:tc>
          <w:tcPr>
            <w:tcW w:w="2126" w:type="dxa"/>
          </w:tcPr>
          <w:p w14:paraId="1C78C3CA" w14:textId="77777777" w:rsidR="00D64FA3" w:rsidRPr="00510285" w:rsidRDefault="00D64FA3" w:rsidP="00D64FA3">
            <w:pPr>
              <w:pStyle w:val="Tabledata"/>
              <w:rPr>
                <w:color w:val="FF0000"/>
                <w:sz w:val="20"/>
                <w:szCs w:val="20"/>
              </w:rPr>
            </w:pPr>
            <w:r>
              <w:rPr>
                <w:color w:val="000000"/>
              </w:rPr>
              <w:t>0.30</w:t>
            </w:r>
          </w:p>
        </w:tc>
        <w:tc>
          <w:tcPr>
            <w:tcW w:w="2126" w:type="dxa"/>
          </w:tcPr>
          <w:p w14:paraId="5FFBEA88" w14:textId="77777777" w:rsidR="00D64FA3" w:rsidRPr="002466AC" w:rsidRDefault="00D64FA3" w:rsidP="00D64FA3">
            <w:pPr>
              <w:pStyle w:val="Tabledata"/>
              <w:rPr>
                <w:sz w:val="20"/>
                <w:szCs w:val="20"/>
              </w:rPr>
            </w:pPr>
            <w:r>
              <w:rPr>
                <w:color w:val="000000"/>
              </w:rPr>
              <w:t>1.21</w:t>
            </w:r>
          </w:p>
        </w:tc>
        <w:tc>
          <w:tcPr>
            <w:tcW w:w="2126" w:type="dxa"/>
          </w:tcPr>
          <w:p w14:paraId="5E614E8D" w14:textId="77777777" w:rsidR="00D64FA3" w:rsidRPr="00510285" w:rsidRDefault="00D64FA3" w:rsidP="00D64FA3">
            <w:pPr>
              <w:pStyle w:val="Tabledata"/>
              <w:rPr>
                <w:color w:val="FF0000"/>
                <w:sz w:val="20"/>
                <w:szCs w:val="20"/>
              </w:rPr>
            </w:pPr>
            <w:r>
              <w:rPr>
                <w:color w:val="000000"/>
              </w:rPr>
              <w:t>1.90</w:t>
            </w:r>
          </w:p>
        </w:tc>
      </w:tr>
    </w:tbl>
    <w:p w14:paraId="50C39592" w14:textId="77777777" w:rsidR="0024031A" w:rsidRDefault="0024031A" w:rsidP="0024031A">
      <w:pPr>
        <w:pStyle w:val="BodyCopy"/>
      </w:pPr>
    </w:p>
    <w:p w14:paraId="7A4DEE15" w14:textId="77777777" w:rsidR="0024031A" w:rsidRDefault="0024031A" w:rsidP="0024031A">
      <w:pPr>
        <w:pStyle w:val="BodyCopy"/>
      </w:pPr>
      <w:r>
        <w:t xml:space="preserve">A break-even analysis indicated that, with all other variables set to base values, adoption of practice </w:t>
      </w:r>
      <w:proofErr w:type="gramStart"/>
      <w:r>
        <w:t>change</w:t>
      </w:r>
      <w:proofErr w:type="gramEnd"/>
      <w:r>
        <w:t xml:space="preserve"> to increase NUE because of project 2015/065 would need to be 8.2% of the Central and Wet Tropics sugarcane production area to produce positive investment criteria (benefit-cost ratio of 1:1).</w:t>
      </w:r>
    </w:p>
    <w:p w14:paraId="1AB398FD" w14:textId="77777777" w:rsidR="0024031A" w:rsidRDefault="0024031A" w:rsidP="0024031A">
      <w:pPr>
        <w:pStyle w:val="BodyCopy"/>
      </w:pPr>
      <w:r>
        <w:t>Alternatively, with all other variables set to base values, the N savings rate would need to be at least 16.5% for applicable farms to produce positive investment criteria.</w:t>
      </w:r>
    </w:p>
    <w:p w14:paraId="7700D109" w14:textId="77777777" w:rsidR="0024031A" w:rsidRDefault="0024031A" w:rsidP="00D64FA3">
      <w:pPr>
        <w:pStyle w:val="Heading1"/>
      </w:pPr>
      <w:r>
        <w:t xml:space="preserve">Conclusions </w:t>
      </w:r>
    </w:p>
    <w:p w14:paraId="75605022" w14:textId="77777777" w:rsidR="0024031A" w:rsidRDefault="0024031A" w:rsidP="0024031A">
      <w:pPr>
        <w:pStyle w:val="BodyCopy"/>
      </w:pPr>
      <w:r>
        <w:t xml:space="preserve">The project is likely to have contributed to direct private productivity/profitability impacts for Australian sugarcane producers through improved NUE driven largely by reduced N fertiliser use/N savings. Secondary </w:t>
      </w:r>
      <w:r>
        <w:lastRenderedPageBreak/>
        <w:t>productivity/profitability impacts may accrue to the Australian sugarcane milling sector if, in the future, improved NUE on-farm results in increased sugarcane yields and therefore increased cane processing.</w:t>
      </w:r>
    </w:p>
    <w:p w14:paraId="0AEF30F3" w14:textId="77777777" w:rsidR="0024031A" w:rsidRDefault="0024031A" w:rsidP="0024031A">
      <w:pPr>
        <w:pStyle w:val="BodyCopy"/>
      </w:pPr>
      <w:r>
        <w:t>Given the assumptions made, the investment criteria estimated for total investment in the project of $1.75 million (present value of costs) were positive with an expected present value of benefits of $2.12 million, an expected net present value estimated at $0.37 million and an expected benefit-cost ratio of 1.21 to 1. The internal rate of return was estimated at 7.7% and the modified internal rate of return at 1.7%.</w:t>
      </w:r>
    </w:p>
    <w:p w14:paraId="153592DA" w14:textId="77777777" w:rsidR="0024031A" w:rsidRDefault="0024031A" w:rsidP="0024031A">
      <w:pPr>
        <w:pStyle w:val="BodyCopy"/>
      </w:pPr>
      <w:r>
        <w:t xml:space="preserve">For the SRA investment, the investment of $0.50 million provided an expected net present value estimate of $0.61 million and an expected benefit-cost ratio of 1.21 to 1, with rates of return </w:t>
      </w:r>
      <w:proofErr w:type="gramStart"/>
      <w:r>
        <w:t>similar to</w:t>
      </w:r>
      <w:proofErr w:type="gramEnd"/>
      <w:r>
        <w:t xml:space="preserve"> those for the total investment.</w:t>
      </w:r>
    </w:p>
    <w:p w14:paraId="434F6DFE" w14:textId="77777777" w:rsidR="0024031A" w:rsidRDefault="0024031A" w:rsidP="0024031A">
      <w:pPr>
        <w:pStyle w:val="BodyCopy"/>
      </w:pPr>
      <w:r>
        <w:t xml:space="preserve">For the DES investment, the investment of $0.79 million gave an expected net present value of $0.96 million and an expected benefit-cost ratio and rates of return </w:t>
      </w:r>
      <w:proofErr w:type="gramStart"/>
      <w:r>
        <w:t>similar to</w:t>
      </w:r>
      <w:proofErr w:type="gramEnd"/>
      <w:r>
        <w:t xml:space="preserve"> those for the total investment. </w:t>
      </w:r>
    </w:p>
    <w:p w14:paraId="593B76F9" w14:textId="77777777" w:rsidR="0024031A" w:rsidRDefault="0024031A" w:rsidP="0024031A">
      <w:pPr>
        <w:pStyle w:val="BodyCopy"/>
      </w:pPr>
      <w:r>
        <w:t>All investment criteria were estimated using a discount rate of 5% and with benefits estimated over 30 years from the final year of investment (2019/20).</w:t>
      </w:r>
    </w:p>
    <w:p w14:paraId="59501628" w14:textId="72FBA3D5" w:rsidR="0024031A" w:rsidRDefault="0024031A" w:rsidP="0024031A">
      <w:pPr>
        <w:pStyle w:val="BodyCopy"/>
      </w:pPr>
      <w:r>
        <w:t>The quantitative analysis relied on assumptions regarding future adoption and impact of a range of practices to improve NUE in the Central and Wet Tropics sugarcane production regions. While best bet estimates for adoption and impacts have been made, there has been to date no actual data assembled on adoption as the project was completed in August of 2020. Further, four impacts of the project investment that were identified were not valued in monetary terms. Hence, the magnitude of the investment criteria estimated and reported are likely to be an underestimate of the true performance of the investment in project 2015/065. Also, if the project outputs are used to revise the SIX EASY STEPS</w:t>
      </w:r>
      <w:r w:rsidR="00D64FA3" w:rsidRPr="00D64FA3">
        <w:rPr>
          <w:rFonts w:cs="Arial"/>
        </w:rPr>
        <w:t>®</w:t>
      </w:r>
      <w:r>
        <w:t xml:space="preserve"> Toolbox, any future benefits from use of SIX EASY STEPS</w:t>
      </w:r>
      <w:r w:rsidR="00D64FA3" w:rsidRPr="00D64FA3">
        <w:rPr>
          <w:rFonts w:cs="Arial"/>
        </w:rPr>
        <w:t>®</w:t>
      </w:r>
      <w:r>
        <w:t xml:space="preserve"> will be partially attributable to the 2015/065 investment.</w:t>
      </w:r>
    </w:p>
    <w:p w14:paraId="706EE55A" w14:textId="77777777" w:rsidR="0024031A" w:rsidRDefault="0024031A" w:rsidP="00D64FA3">
      <w:pPr>
        <w:pStyle w:val="Heading1"/>
      </w:pPr>
      <w:r>
        <w:t>Acknowledgments</w:t>
      </w:r>
    </w:p>
    <w:p w14:paraId="6961B251" w14:textId="77777777" w:rsidR="0024031A" w:rsidRDefault="0024031A" w:rsidP="0024031A">
      <w:pPr>
        <w:pStyle w:val="BodyCopy"/>
      </w:pPr>
      <w:r>
        <w:t>Danielle Skocaj, Principal Researcher, Sugar Research Australia Ltd</w:t>
      </w:r>
    </w:p>
    <w:p w14:paraId="6402BABF" w14:textId="77777777" w:rsidR="0024031A" w:rsidRDefault="0024031A" w:rsidP="0024031A">
      <w:pPr>
        <w:pStyle w:val="BodyCopy"/>
      </w:pPr>
      <w:r>
        <w:t>Barry Salter, Executive Manager for Biosecurity and Production, Sugar Research Australia</w:t>
      </w:r>
    </w:p>
    <w:p w14:paraId="57C30BC0" w14:textId="77777777" w:rsidR="0024031A" w:rsidRDefault="0024031A" w:rsidP="00D64FA3">
      <w:pPr>
        <w:pStyle w:val="Heading1"/>
      </w:pPr>
      <w:r>
        <w:t>References</w:t>
      </w:r>
    </w:p>
    <w:p w14:paraId="70A6A0D6" w14:textId="77777777" w:rsidR="0024031A" w:rsidRDefault="0024031A" w:rsidP="0024031A">
      <w:pPr>
        <w:pStyle w:val="BodyCopy"/>
      </w:pPr>
      <w:r>
        <w:t>Australian Bureau of Statistics. (2020, September 2). Australian National Accounts: National Income, Expenditure and Product - Quarterly estimates of key economic flows in Australia, including gross domestic product (GDP), consumption, investment, income and saving. Retrieved October 2020, from Australian Bureau of Statistics: https://www.abs.gov.au/statistics/economy/national-accounts/australian-national-accounts-national-income-expenditure-and-product/latest-release#data-download</w:t>
      </w:r>
    </w:p>
    <w:p w14:paraId="437514A6" w14:textId="77777777" w:rsidR="0024031A" w:rsidRDefault="0024031A" w:rsidP="0024031A">
      <w:pPr>
        <w:pStyle w:val="BodyCopy"/>
      </w:pPr>
      <w:r>
        <w:t>Bell, M. J. (2014). A review of nitrogen use efficiency in sugarcane. Brisbane QLD: Sugar Research Australia Ltd. Retrieved October 2020, from https://sugarresearch.com.au/wp-content/uploads/2017/05/A-review-of-nitrogen-use-efficiency-in-sugarcane.pdf</w:t>
      </w:r>
    </w:p>
    <w:p w14:paraId="7DA5F526" w14:textId="77777777" w:rsidR="0024031A" w:rsidRDefault="0024031A" w:rsidP="0024031A">
      <w:pPr>
        <w:pStyle w:val="BodyCopy"/>
      </w:pPr>
      <w:r>
        <w:t xml:space="preserve">Brodie, J., Baird, M., Waterhouse, J., </w:t>
      </w:r>
      <w:proofErr w:type="spellStart"/>
      <w:r>
        <w:t>Mongin</w:t>
      </w:r>
      <w:proofErr w:type="spellEnd"/>
      <w:r>
        <w:t xml:space="preserve">, M., </w:t>
      </w:r>
      <w:proofErr w:type="spellStart"/>
      <w:r>
        <w:t>Skerratt</w:t>
      </w:r>
      <w:proofErr w:type="spellEnd"/>
      <w:r>
        <w:t xml:space="preserve">, J., </w:t>
      </w:r>
      <w:proofErr w:type="spellStart"/>
      <w:r>
        <w:t>Robillot</w:t>
      </w:r>
      <w:proofErr w:type="spellEnd"/>
      <w:r>
        <w:t xml:space="preserve">, C., . . . Warne, M. (2017). Development of basin-specific ecologically relevant water quality targets for the Great Barrier Reef. Townsville QLD: </w:t>
      </w:r>
      <w:proofErr w:type="spellStart"/>
      <w:r>
        <w:t>TropWater</w:t>
      </w:r>
      <w:proofErr w:type="spellEnd"/>
      <w:r>
        <w:t>: Centre for Tropical Water and Aquatic Ecosystem Research &amp; James Cook University. Retrieved October 2020, from https://www.reefplan.qld.gov.au/__data/assets/pdf_file/0025/46096/gbr-water-quality-targets-june2017.pdf</w:t>
      </w:r>
    </w:p>
    <w:p w14:paraId="62BAB2A1" w14:textId="77777777" w:rsidR="0024031A" w:rsidRDefault="0024031A" w:rsidP="0024031A">
      <w:pPr>
        <w:pStyle w:val="BodyCopy"/>
      </w:pPr>
      <w:r>
        <w:t>Canegrowers. (2020). Canegrowers Annual Report 2019/20. Brisbane QLD: Canegrowers. Retrieved October 2020, from http://www.canegrowers.com.au/icms_docs/321340_canegrowers-annual-report-2019-20.pdf</w:t>
      </w:r>
    </w:p>
    <w:p w14:paraId="2F63C632" w14:textId="77777777" w:rsidR="0024031A" w:rsidRDefault="0024031A" w:rsidP="0024031A">
      <w:pPr>
        <w:pStyle w:val="BodyCopy"/>
      </w:pPr>
      <w:r>
        <w:t>Council of Rural Research and Development Corporations. (2018). Cross-RDC Impact Assessment Program: Guidelines. Canberra ACT: Council of Rural Research and Development Corporations. Retrieved October 2020, from https://www.ruralrdc.com.au/wp-content/uploads/2018/08/201804_RDC-IA-Guidelines-V.2.pdf</w:t>
      </w:r>
    </w:p>
    <w:p w14:paraId="21B741BC" w14:textId="77777777" w:rsidR="0024031A" w:rsidRDefault="0024031A" w:rsidP="0024031A">
      <w:pPr>
        <w:pStyle w:val="BodyCopy"/>
      </w:pPr>
      <w:r>
        <w:lastRenderedPageBreak/>
        <w:t xml:space="preserve">Department of Agriculture, </w:t>
      </w:r>
      <w:proofErr w:type="gramStart"/>
      <w:r>
        <w:t>Water</w:t>
      </w:r>
      <w:proofErr w:type="gramEnd"/>
      <w:r>
        <w:t xml:space="preserve"> and the Environment. (2019). Rural Research, Development and Extension Priorities. Retrieved October 2020, from Australian Government Department of Agriculture, </w:t>
      </w:r>
      <w:proofErr w:type="gramStart"/>
      <w:r>
        <w:t>Water</w:t>
      </w:r>
      <w:proofErr w:type="gramEnd"/>
      <w:r>
        <w:t xml:space="preserve"> and the Environment: https://www.agriculture.gov.au/ag-farm-food/innovation/priorities</w:t>
      </w:r>
    </w:p>
    <w:p w14:paraId="0E618D69" w14:textId="77777777" w:rsidR="0024031A" w:rsidRDefault="0024031A" w:rsidP="0024031A">
      <w:pPr>
        <w:pStyle w:val="BodyCopy"/>
      </w:pPr>
      <w:r>
        <w:t>Department of Industry, Science, Energy and Resources. (2015, May). Science in our department. Retrieved from Australian Government Department of Industry, Science, Energy and Resources: https://www.industry.gov.au/data-and-publications/science-and-research-priorities</w:t>
      </w:r>
    </w:p>
    <w:p w14:paraId="7BC27692" w14:textId="4F7AACE4" w:rsidR="00D1606A" w:rsidRDefault="0024031A" w:rsidP="0024031A">
      <w:pPr>
        <w:pStyle w:val="BodyCopy"/>
      </w:pPr>
      <w:r>
        <w:t>Sugar Research Australia Ltd. (2017). SRA Strategic Plan 2017/18 - 2021/22. Brisbane QLD: Sugar Research Australia Ltd. Retrieved October 2020, from https://sugarresearch.com.au/wp-content/uploads/2017/09/Strategic-Plan-2017-_FINAL.pdf</w:t>
      </w:r>
    </w:p>
    <w:p w14:paraId="77D9274A" w14:textId="0782BA67" w:rsidR="009E7CC2" w:rsidRDefault="009E7CC2" w:rsidP="009E7CC2">
      <w:pPr>
        <w:rPr>
          <w:rFonts w:eastAsia="Times New Roman"/>
          <w:b/>
          <w:bCs/>
          <w:i/>
          <w:iCs/>
          <w:color w:val="000000"/>
          <w:sz w:val="22"/>
        </w:rPr>
      </w:pPr>
      <w:r>
        <w:rPr>
          <w:rFonts w:eastAsia="Times New Roman"/>
          <w:b/>
          <w:bCs/>
          <w:i/>
          <w:iCs/>
          <w:noProof/>
          <w:color w:val="000000"/>
          <w:sz w:val="22"/>
        </w:rPr>
        <mc:AlternateContent>
          <mc:Choice Requires="wps">
            <w:drawing>
              <wp:anchor distT="0" distB="0" distL="114300" distR="114300" simplePos="0" relativeHeight="251659264" behindDoc="0" locked="0" layoutInCell="1" allowOverlap="1" wp14:anchorId="3D35B352" wp14:editId="4497164D">
                <wp:simplePos x="0" y="0"/>
                <wp:positionH relativeFrom="column">
                  <wp:posOffset>-42862</wp:posOffset>
                </wp:positionH>
                <wp:positionV relativeFrom="paragraph">
                  <wp:posOffset>103188</wp:posOffset>
                </wp:positionV>
                <wp:extent cx="5743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35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72589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8.15pt" to="44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" strokecolor="#3d4455 [3200]">
                <v:stroke joinstyle="miter"/>
              </v:line>
            </w:pict>
          </mc:Fallback>
        </mc:AlternateContent>
      </w:r>
    </w:p>
    <w:p w14:paraId="3D13836E" w14:textId="064A9F97" w:rsidR="009E7CC2" w:rsidRPr="009E7CC2" w:rsidRDefault="009E7CC2" w:rsidP="009E7CC2">
      <w:pPr>
        <w:rPr>
          <w:rFonts w:ascii="Calibri" w:eastAsia="Times New Roman" w:hAnsi="Calibri"/>
          <w:b/>
          <w:bCs/>
          <w:i/>
          <w:iCs/>
          <w:color w:val="000000"/>
          <w:sz w:val="22"/>
        </w:rPr>
      </w:pPr>
      <w:r w:rsidRPr="009E7CC2">
        <w:rPr>
          <w:rFonts w:eastAsia="Times New Roman"/>
          <w:b/>
          <w:bCs/>
          <w:i/>
          <w:iCs/>
          <w:color w:val="000000"/>
          <w:sz w:val="22"/>
        </w:rPr>
        <w:t>SRA acknowledges the co-funding from the Queensland Department of Environment and Science for this research activity.</w:t>
      </w:r>
    </w:p>
    <w:p w14:paraId="6E4BC5D5" w14:textId="77777777" w:rsidR="00D1606A" w:rsidRDefault="00D1606A" w:rsidP="00D1606A">
      <w:pPr>
        <w:pStyle w:val="BodyCopy"/>
      </w:pPr>
    </w:p>
    <w:p w14:paraId="6BF173E3" w14:textId="77777777" w:rsidR="00D1606A" w:rsidRDefault="00D1606A" w:rsidP="00D1606A">
      <w:pPr>
        <w:pStyle w:val="BodyCopy"/>
      </w:pPr>
    </w:p>
    <w:sectPr w:rsidR="00D1606A" w:rsidSect="00D1606A">
      <w:headerReference w:type="default" r:id="rId14"/>
      <w:footerReference w:type="default" r:id="rId15"/>
      <w:headerReference w:type="first" r:id="rId16"/>
      <w:footerReference w:type="first" r:id="rId17"/>
      <w:pgSz w:w="11906" w:h="16838"/>
      <w:pgMar w:top="1843" w:right="1440" w:bottom="1440" w:left="1440" w:header="992"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8D5E" w14:textId="77777777" w:rsidR="0024031A" w:rsidRDefault="0024031A" w:rsidP="0089225B">
      <w:pPr>
        <w:spacing w:after="0"/>
      </w:pPr>
      <w:r>
        <w:separator/>
      </w:r>
    </w:p>
  </w:endnote>
  <w:endnote w:type="continuationSeparator" w:id="0">
    <w:p w14:paraId="2212089D" w14:textId="77777777" w:rsidR="0024031A" w:rsidRDefault="0024031A" w:rsidP="008922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BRsfont">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E091" w14:textId="77777777" w:rsidR="0089225B" w:rsidRDefault="0089225B">
    <w:pPr>
      <w:pStyle w:val="Footer"/>
      <w:jc w:val="right"/>
    </w:pPr>
    <w:r w:rsidRPr="0089225B">
      <w:rPr>
        <w:rFonts w:cs="Arial"/>
        <w:b/>
        <w:bCs/>
        <w:color w:val="D86018"/>
        <w:szCs w:val="20"/>
      </w:rPr>
      <w:t>sugarresearch.com.au</w:t>
    </w:r>
    <w:r>
      <w:rPr>
        <w:rFonts w:cs="Arial"/>
        <w:b/>
        <w:bCs/>
        <w:color w:val="D86018"/>
        <w:szCs w:val="20"/>
      </w:rPr>
      <w:t xml:space="preserve">   |    </w:t>
    </w:r>
    <w:sdt>
      <w:sdtPr>
        <w:rPr>
          <w:rFonts w:cs="Arial"/>
          <w:b/>
          <w:bCs/>
          <w:szCs w:val="20"/>
        </w:rPr>
        <w:id w:val="1723413161"/>
        <w:docPartObj>
          <w:docPartGallery w:val="Page Numbers (Bottom of Page)"/>
        </w:docPartObj>
      </w:sdtPr>
      <w:sdtEndPr>
        <w:rPr>
          <w:rFonts w:cstheme="minorBidi"/>
          <w:b w:val="0"/>
          <w:bCs w:val="0"/>
          <w:noProof/>
        </w:rPr>
      </w:sdtEndPr>
      <w:sdtContent>
        <w:r w:rsidRPr="0089225B">
          <w:rPr>
            <w:szCs w:val="20"/>
          </w:rPr>
          <w:fldChar w:fldCharType="begin"/>
        </w:r>
        <w:r w:rsidRPr="0089225B">
          <w:rPr>
            <w:szCs w:val="20"/>
          </w:rPr>
          <w:instrText xml:space="preserve"> PAGE   \* MERGEFORMAT </w:instrText>
        </w:r>
        <w:r w:rsidRPr="0089225B">
          <w:rPr>
            <w:szCs w:val="20"/>
          </w:rPr>
          <w:fldChar w:fldCharType="separate"/>
        </w:r>
        <w:r w:rsidRPr="0089225B">
          <w:rPr>
            <w:noProof/>
            <w:szCs w:val="20"/>
          </w:rPr>
          <w:t>2</w:t>
        </w:r>
        <w:r w:rsidRPr="0089225B">
          <w:rPr>
            <w:noProof/>
            <w:szCs w:val="20"/>
          </w:rPr>
          <w:fldChar w:fldCharType="end"/>
        </w:r>
      </w:sdtContent>
    </w:sdt>
  </w:p>
  <w:p w14:paraId="7C25DF62" w14:textId="77777777" w:rsidR="0089225B" w:rsidRPr="0089225B" w:rsidRDefault="0089225B">
    <w:pPr>
      <w:pStyle w:val="Footer"/>
      <w:rPr>
        <w:rFonts w:cs="Arial"/>
        <w:b/>
        <w:bCs/>
        <w:color w:val="D86018"/>
        <w:szCs w:val="20"/>
      </w:rPr>
    </w:pPr>
  </w:p>
  <w:p w14:paraId="53F7A218" w14:textId="77777777" w:rsidR="00F007EE" w:rsidRDefault="00F007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8F98" w14:textId="77777777" w:rsidR="004B6477" w:rsidRDefault="004B6477" w:rsidP="00A11C2A">
    <w:pPr>
      <w:pStyle w:val="Footer"/>
    </w:pPr>
    <w:r w:rsidRPr="0089225B">
      <w:rPr>
        <w:rFonts w:cs="Arial"/>
        <w:b/>
        <w:bCs/>
        <w:color w:val="D86018"/>
        <w:szCs w:val="20"/>
      </w:rPr>
      <w:t>sugarresearch.com.au</w:t>
    </w:r>
  </w:p>
  <w:p w14:paraId="45EB8915" w14:textId="77777777" w:rsidR="004B6477" w:rsidRPr="0089225B" w:rsidRDefault="004B6477" w:rsidP="004B6477">
    <w:pPr>
      <w:pStyle w:val="Footer"/>
      <w:rPr>
        <w:rFonts w:cs="Arial"/>
        <w:b/>
        <w:bCs/>
        <w:color w:val="D86018"/>
        <w:szCs w:val="20"/>
      </w:rPr>
    </w:pPr>
  </w:p>
  <w:p w14:paraId="77F6B810" w14:textId="77777777" w:rsidR="004B6477" w:rsidRDefault="004B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C0E1" w14:textId="77777777" w:rsidR="0024031A" w:rsidRDefault="0024031A" w:rsidP="0089225B">
      <w:pPr>
        <w:spacing w:after="0"/>
      </w:pPr>
      <w:r>
        <w:separator/>
      </w:r>
    </w:p>
  </w:footnote>
  <w:footnote w:type="continuationSeparator" w:id="0">
    <w:p w14:paraId="35BD04C0" w14:textId="77777777" w:rsidR="0024031A" w:rsidRDefault="0024031A" w:rsidP="008922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8D00" w14:textId="3A97B419" w:rsidR="00583382" w:rsidRPr="00A11C2A" w:rsidRDefault="00A11C2A" w:rsidP="00583382">
    <w:pPr>
      <w:pStyle w:val="Header"/>
      <w:pBdr>
        <w:bottom w:val="single" w:sz="4" w:space="1" w:color="333F48"/>
      </w:pBdr>
      <w:jc w:val="right"/>
      <w:rPr>
        <w:lang w:val="en-US"/>
      </w:rPr>
    </w:pPr>
    <w:r w:rsidRPr="006D7875">
      <w:rPr>
        <w:b/>
        <w:sz w:val="16"/>
        <w:szCs w:val="16"/>
        <w:lang w:val="en-US"/>
      </w:rPr>
      <w:t xml:space="preserve">Sugar Research Australia </w:t>
    </w:r>
    <w:r w:rsidR="00D64FA3">
      <w:rPr>
        <w:b/>
        <w:color w:val="D86018" w:themeColor="accent2"/>
        <w:sz w:val="16"/>
        <w:szCs w:val="16"/>
        <w:lang w:val="en-US"/>
      </w:rPr>
      <w:t>Project 2015/065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C901" w14:textId="77777777" w:rsidR="0089225B" w:rsidRPr="00A11C2A" w:rsidRDefault="00A11C2A" w:rsidP="00A11C2A">
    <w:pPr>
      <w:pStyle w:val="Header"/>
      <w:tabs>
        <w:tab w:val="clear" w:pos="4513"/>
      </w:tabs>
    </w:pPr>
    <w:r>
      <w:rPr>
        <w:noProof/>
      </w:rPr>
      <w:drawing>
        <wp:anchor distT="0" distB="0" distL="114300" distR="114300" simplePos="0" relativeHeight="251659264" behindDoc="0" locked="0" layoutInCell="1" allowOverlap="1" wp14:anchorId="6D71832E" wp14:editId="36C26CC7">
          <wp:simplePos x="0" y="0"/>
          <wp:positionH relativeFrom="margin">
            <wp:posOffset>5135880</wp:posOffset>
          </wp:positionH>
          <wp:positionV relativeFrom="topMargin">
            <wp:posOffset>403860</wp:posOffset>
          </wp:positionV>
          <wp:extent cx="652780" cy="718820"/>
          <wp:effectExtent l="0" t="0" r="0" b="5080"/>
          <wp:wrapSquare wrapText="bothSides"/>
          <wp:docPr id="5" name="Picture 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A Colour Logo Vertical_large.jpg"/>
                  <pic:cNvPicPr/>
                </pic:nvPicPr>
                <pic:blipFill>
                  <a:blip r:embed="rId1">
                    <a:extLst>
                      <a:ext uri="{28A0092B-C50C-407E-A947-70E740481C1C}">
                        <a14:useLocalDpi xmlns:a14="http://schemas.microsoft.com/office/drawing/2010/main" val="0"/>
                      </a:ext>
                    </a:extLst>
                  </a:blip>
                  <a:stretch>
                    <a:fillRect/>
                  </a:stretch>
                </pic:blipFill>
                <pic:spPr>
                  <a:xfrm>
                    <a:off x="0" y="0"/>
                    <a:ext cx="652780" cy="718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F9"/>
    <w:multiLevelType w:val="hybridMultilevel"/>
    <w:tmpl w:val="9FFC3260"/>
    <w:lvl w:ilvl="0" w:tplc="F6FA77D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0316E"/>
    <w:multiLevelType w:val="hybridMultilevel"/>
    <w:tmpl w:val="084A671C"/>
    <w:lvl w:ilvl="0" w:tplc="3C584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D79A3"/>
    <w:multiLevelType w:val="hybridMultilevel"/>
    <w:tmpl w:val="6360C9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6C4B9F"/>
    <w:multiLevelType w:val="hybridMultilevel"/>
    <w:tmpl w:val="BF883F14"/>
    <w:lvl w:ilvl="0" w:tplc="2E8AB17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966B9"/>
    <w:multiLevelType w:val="hybridMultilevel"/>
    <w:tmpl w:val="46046AA6"/>
    <w:lvl w:ilvl="0" w:tplc="0C090003">
      <w:start w:val="1"/>
      <w:numFmt w:val="bullet"/>
      <w:lvlText w:val="o"/>
      <w:lvlJc w:val="left"/>
      <w:pPr>
        <w:tabs>
          <w:tab w:val="num" w:pos="780"/>
        </w:tabs>
        <w:ind w:left="780" w:hanging="360"/>
      </w:pPr>
      <w:rPr>
        <w:rFonts w:ascii="Courier New" w:hAnsi="Courier New" w:cs="Courier New" w:hint="default"/>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E992870"/>
    <w:multiLevelType w:val="hybridMultilevel"/>
    <w:tmpl w:val="FBB4E8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323496"/>
    <w:multiLevelType w:val="multilevel"/>
    <w:tmpl w:val="098EEF9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5B5AE6"/>
    <w:multiLevelType w:val="hybridMultilevel"/>
    <w:tmpl w:val="E9120AF4"/>
    <w:lvl w:ilvl="0" w:tplc="6B32C7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32321"/>
    <w:multiLevelType w:val="hybridMultilevel"/>
    <w:tmpl w:val="DD22F744"/>
    <w:lvl w:ilvl="0" w:tplc="7B60B0CA">
      <w:start w:val="1"/>
      <w:numFmt w:val="lowerLetter"/>
      <w:pStyle w:val="ListParagraph"/>
      <w:lvlText w:val="%1)"/>
      <w:lvlJc w:val="left"/>
      <w:pPr>
        <w:ind w:left="36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415AE0"/>
    <w:multiLevelType w:val="hybridMultilevel"/>
    <w:tmpl w:val="34180C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27181E"/>
    <w:multiLevelType w:val="hybridMultilevel"/>
    <w:tmpl w:val="E1B6A5AC"/>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180281"/>
    <w:multiLevelType w:val="hybridMultilevel"/>
    <w:tmpl w:val="5894BA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0E1C92"/>
    <w:multiLevelType w:val="hybridMultilevel"/>
    <w:tmpl w:val="6B4A62AC"/>
    <w:lvl w:ilvl="0" w:tplc="0C090017">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135F8B"/>
    <w:multiLevelType w:val="hybridMultilevel"/>
    <w:tmpl w:val="29865A4A"/>
    <w:lvl w:ilvl="0" w:tplc="6B32C7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A64F07"/>
    <w:multiLevelType w:val="hybridMultilevel"/>
    <w:tmpl w:val="1062CD00"/>
    <w:lvl w:ilvl="0" w:tplc="A3CA196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7F57C04"/>
    <w:multiLevelType w:val="hybridMultilevel"/>
    <w:tmpl w:val="05143E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205AC1"/>
    <w:multiLevelType w:val="multilevel"/>
    <w:tmpl w:val="6702473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4CE4CA1"/>
    <w:multiLevelType w:val="hybridMultilevel"/>
    <w:tmpl w:val="5860B9A0"/>
    <w:lvl w:ilvl="0" w:tplc="0C090001">
      <w:start w:val="1"/>
      <w:numFmt w:val="bullet"/>
      <w:lvlText w:val=""/>
      <w:lvlJc w:val="left"/>
      <w:pPr>
        <w:ind w:left="720" w:hanging="360"/>
      </w:pPr>
      <w:rPr>
        <w:rFonts w:ascii="Symbol" w:hAnsi="Symbol" w:hint="default"/>
      </w:rPr>
    </w:lvl>
    <w:lvl w:ilvl="1" w:tplc="A846014C">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DC39D9"/>
    <w:multiLevelType w:val="hybridMultilevel"/>
    <w:tmpl w:val="E884AF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2754C3"/>
    <w:multiLevelType w:val="hybridMultilevel"/>
    <w:tmpl w:val="7506CB2C"/>
    <w:lvl w:ilvl="0" w:tplc="422CFF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413B0C"/>
    <w:multiLevelType w:val="hybridMultilevel"/>
    <w:tmpl w:val="0D8649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30399"/>
    <w:multiLevelType w:val="hybridMultilevel"/>
    <w:tmpl w:val="46941A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8C0DEF"/>
    <w:multiLevelType w:val="multilevel"/>
    <w:tmpl w:val="FA08BF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BBF6CBD"/>
    <w:multiLevelType w:val="hybridMultilevel"/>
    <w:tmpl w:val="C9DC80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F01521"/>
    <w:multiLevelType w:val="hybridMultilevel"/>
    <w:tmpl w:val="A89AC8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AB3728"/>
    <w:multiLevelType w:val="hybridMultilevel"/>
    <w:tmpl w:val="1AFC9A80"/>
    <w:lvl w:ilvl="0" w:tplc="8CB44340">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5628BE"/>
    <w:multiLevelType w:val="hybridMultilevel"/>
    <w:tmpl w:val="285EF8F4"/>
    <w:lvl w:ilvl="0" w:tplc="616ABB0C">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7E37A4"/>
    <w:multiLevelType w:val="hybridMultilevel"/>
    <w:tmpl w:val="A0345C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0C12B0"/>
    <w:multiLevelType w:val="hybridMultilevel"/>
    <w:tmpl w:val="4F420954"/>
    <w:lvl w:ilvl="0" w:tplc="1892F214">
      <w:start w:val="1"/>
      <w:numFmt w:val="lowerLetter"/>
      <w:lvlText w:val="%1."/>
      <w:lvlJc w:val="left"/>
      <w:pPr>
        <w:ind w:left="787" w:hanging="360"/>
      </w:pPr>
      <w:rPr>
        <w:color w:val="365B5C" w:themeColor="accent1" w:themeShade="BF"/>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29" w15:restartNumberingAfterBreak="0">
    <w:nsid w:val="7296254D"/>
    <w:multiLevelType w:val="hybridMultilevel"/>
    <w:tmpl w:val="88384A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F059C9"/>
    <w:multiLevelType w:val="hybridMultilevel"/>
    <w:tmpl w:val="764A539A"/>
    <w:lvl w:ilvl="0" w:tplc="6B32C7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A3975"/>
    <w:multiLevelType w:val="hybridMultilevel"/>
    <w:tmpl w:val="108A00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863B30"/>
    <w:multiLevelType w:val="hybridMultilevel"/>
    <w:tmpl w:val="17FEB7EC"/>
    <w:lvl w:ilvl="0" w:tplc="4B6CCCCA">
      <w:start w:val="1"/>
      <w:numFmt w:val="bullet"/>
      <w:lvlText w:val=""/>
      <w:lvlJc w:val="left"/>
      <w:pPr>
        <w:tabs>
          <w:tab w:val="num" w:pos="780"/>
        </w:tabs>
        <w:ind w:left="78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CC02C22"/>
    <w:multiLevelType w:val="hybridMultilevel"/>
    <w:tmpl w:val="AF2CA87E"/>
    <w:lvl w:ilvl="0" w:tplc="6498B87A">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643010"/>
    <w:multiLevelType w:val="hybridMultilevel"/>
    <w:tmpl w:val="D6A40626"/>
    <w:lvl w:ilvl="0" w:tplc="5E48822A">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92105E"/>
    <w:multiLevelType w:val="hybridMultilevel"/>
    <w:tmpl w:val="101677C8"/>
    <w:lvl w:ilvl="0" w:tplc="B73C2EE6">
      <w:start w:val="1"/>
      <w:numFmt w:val="lowerLetter"/>
      <w:lvlText w:val="%1."/>
      <w:lvlJc w:val="left"/>
      <w:pPr>
        <w:ind w:left="720" w:hanging="360"/>
      </w:pPr>
      <w:rPr>
        <w:color w:val="365B5C"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CF375E"/>
    <w:multiLevelType w:val="hybridMultilevel"/>
    <w:tmpl w:val="5BA42B80"/>
    <w:lvl w:ilvl="0" w:tplc="13645B1E">
      <w:start w:val="1"/>
      <w:numFmt w:val="bullet"/>
      <w:lvlText w:val=""/>
      <w:lvlJc w:val="left"/>
      <w:pPr>
        <w:ind w:left="1728" w:hanging="360"/>
      </w:pPr>
      <w:rPr>
        <w:rFonts w:ascii="Symbol" w:hAnsi="Symbol"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num w:numId="1">
    <w:abstractNumId w:val="16"/>
  </w:num>
  <w:num w:numId="2">
    <w:abstractNumId w:val="36"/>
  </w:num>
  <w:num w:numId="3">
    <w:abstractNumId w:val="1"/>
  </w:num>
  <w:num w:numId="4">
    <w:abstractNumId w:val="0"/>
  </w:num>
  <w:num w:numId="5">
    <w:abstractNumId w:val="3"/>
  </w:num>
  <w:num w:numId="6">
    <w:abstractNumId w:val="22"/>
  </w:num>
  <w:num w:numId="7">
    <w:abstractNumId w:val="19"/>
  </w:num>
  <w:num w:numId="8">
    <w:abstractNumId w:val="26"/>
  </w:num>
  <w:num w:numId="9">
    <w:abstractNumId w:val="8"/>
  </w:num>
  <w:num w:numId="10">
    <w:abstractNumId w:val="25"/>
  </w:num>
  <w:num w:numId="11">
    <w:abstractNumId w:val="35"/>
  </w:num>
  <w:num w:numId="12">
    <w:abstractNumId w:val="6"/>
  </w:num>
  <w:num w:numId="13">
    <w:abstractNumId w:val="28"/>
  </w:num>
  <w:num w:numId="14">
    <w:abstractNumId w:val="14"/>
  </w:num>
  <w:num w:numId="15">
    <w:abstractNumId w:val="10"/>
  </w:num>
  <w:num w:numId="16">
    <w:abstractNumId w:val="2"/>
  </w:num>
  <w:num w:numId="17">
    <w:abstractNumId w:val="34"/>
  </w:num>
  <w:num w:numId="18">
    <w:abstractNumId w:val="8"/>
    <w:lvlOverride w:ilvl="0">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8"/>
    <w:lvlOverride w:ilvl="0">
      <w:startOverride w:val="1"/>
    </w:lvlOverride>
  </w:num>
  <w:num w:numId="22">
    <w:abstractNumId w:val="12"/>
  </w:num>
  <w:num w:numId="23">
    <w:abstractNumId w:val="33"/>
  </w:num>
  <w:num w:numId="24">
    <w:abstractNumId w:val="18"/>
  </w:num>
  <w:num w:numId="25">
    <w:abstractNumId w:val="31"/>
  </w:num>
  <w:num w:numId="26">
    <w:abstractNumId w:val="23"/>
  </w:num>
  <w:num w:numId="27">
    <w:abstractNumId w:val="24"/>
  </w:num>
  <w:num w:numId="28">
    <w:abstractNumId w:val="21"/>
  </w:num>
  <w:num w:numId="29">
    <w:abstractNumId w:val="13"/>
  </w:num>
  <w:num w:numId="30">
    <w:abstractNumId w:val="20"/>
  </w:num>
  <w:num w:numId="31">
    <w:abstractNumId w:val="5"/>
  </w:num>
  <w:num w:numId="32">
    <w:abstractNumId w:val="11"/>
  </w:num>
  <w:num w:numId="33">
    <w:abstractNumId w:val="7"/>
  </w:num>
  <w:num w:numId="34">
    <w:abstractNumId w:val="30"/>
  </w:num>
  <w:num w:numId="35">
    <w:abstractNumId w:val="9"/>
  </w:num>
  <w:num w:numId="36">
    <w:abstractNumId w:val="27"/>
  </w:num>
  <w:num w:numId="37">
    <w:abstractNumId w:val="29"/>
  </w:num>
  <w:num w:numId="38">
    <w:abstractNumId w:val="15"/>
  </w:num>
  <w:num w:numId="39">
    <w:abstractNumId w:val="32"/>
  </w:num>
  <w:num w:numId="40">
    <w:abstractNumId w:val="4"/>
  </w:num>
  <w:num w:numId="41">
    <w:abstractNumId w:val="33"/>
    <w:lvlOverride w:ilvl="0">
      <w:startOverride w:val="1"/>
    </w:lvlOverride>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1A"/>
    <w:rsid w:val="00002D60"/>
    <w:rsid w:val="000036BF"/>
    <w:rsid w:val="00004CA7"/>
    <w:rsid w:val="00005993"/>
    <w:rsid w:val="00007B4B"/>
    <w:rsid w:val="00010905"/>
    <w:rsid w:val="000159A1"/>
    <w:rsid w:val="000167D6"/>
    <w:rsid w:val="00016954"/>
    <w:rsid w:val="000246AA"/>
    <w:rsid w:val="000308F7"/>
    <w:rsid w:val="00035571"/>
    <w:rsid w:val="000359D1"/>
    <w:rsid w:val="000402D5"/>
    <w:rsid w:val="00046CEE"/>
    <w:rsid w:val="0004746F"/>
    <w:rsid w:val="00050EBF"/>
    <w:rsid w:val="00051283"/>
    <w:rsid w:val="00052A97"/>
    <w:rsid w:val="00053E56"/>
    <w:rsid w:val="0005604E"/>
    <w:rsid w:val="00056CA5"/>
    <w:rsid w:val="0006075E"/>
    <w:rsid w:val="000626E2"/>
    <w:rsid w:val="000641A7"/>
    <w:rsid w:val="00070133"/>
    <w:rsid w:val="0007584F"/>
    <w:rsid w:val="00086057"/>
    <w:rsid w:val="00086B80"/>
    <w:rsid w:val="00091B4F"/>
    <w:rsid w:val="000921E0"/>
    <w:rsid w:val="00092C9D"/>
    <w:rsid w:val="000A6033"/>
    <w:rsid w:val="000A680C"/>
    <w:rsid w:val="000B1ACE"/>
    <w:rsid w:val="000B261F"/>
    <w:rsid w:val="000B5B0C"/>
    <w:rsid w:val="000C3664"/>
    <w:rsid w:val="000D31AE"/>
    <w:rsid w:val="000D4D8E"/>
    <w:rsid w:val="000D7B65"/>
    <w:rsid w:val="000E453B"/>
    <w:rsid w:val="000E7BF1"/>
    <w:rsid w:val="000E7CCC"/>
    <w:rsid w:val="000F1D4A"/>
    <w:rsid w:val="000F1EEC"/>
    <w:rsid w:val="000F2580"/>
    <w:rsid w:val="000F3CCE"/>
    <w:rsid w:val="000F3EAD"/>
    <w:rsid w:val="00103490"/>
    <w:rsid w:val="00104809"/>
    <w:rsid w:val="001051F4"/>
    <w:rsid w:val="0011123D"/>
    <w:rsid w:val="00115014"/>
    <w:rsid w:val="001221D2"/>
    <w:rsid w:val="001236F0"/>
    <w:rsid w:val="00124CC8"/>
    <w:rsid w:val="001271E5"/>
    <w:rsid w:val="001275A5"/>
    <w:rsid w:val="0013209E"/>
    <w:rsid w:val="00133F39"/>
    <w:rsid w:val="0014020C"/>
    <w:rsid w:val="0014143E"/>
    <w:rsid w:val="0014243A"/>
    <w:rsid w:val="00142912"/>
    <w:rsid w:val="001436AA"/>
    <w:rsid w:val="001449F8"/>
    <w:rsid w:val="001463EA"/>
    <w:rsid w:val="00150675"/>
    <w:rsid w:val="00150A3A"/>
    <w:rsid w:val="00154E33"/>
    <w:rsid w:val="00156B81"/>
    <w:rsid w:val="00160F73"/>
    <w:rsid w:val="00162C57"/>
    <w:rsid w:val="00162D5F"/>
    <w:rsid w:val="00167DE9"/>
    <w:rsid w:val="001729E3"/>
    <w:rsid w:val="00172ED1"/>
    <w:rsid w:val="00173255"/>
    <w:rsid w:val="00174515"/>
    <w:rsid w:val="00181AAD"/>
    <w:rsid w:val="00181C29"/>
    <w:rsid w:val="00190AD3"/>
    <w:rsid w:val="001935E0"/>
    <w:rsid w:val="00193786"/>
    <w:rsid w:val="001A19E6"/>
    <w:rsid w:val="001A395A"/>
    <w:rsid w:val="001A40C5"/>
    <w:rsid w:val="001A5F7A"/>
    <w:rsid w:val="001A6811"/>
    <w:rsid w:val="001A70E1"/>
    <w:rsid w:val="001A7BF2"/>
    <w:rsid w:val="001B0E8F"/>
    <w:rsid w:val="001B3D57"/>
    <w:rsid w:val="001B59A5"/>
    <w:rsid w:val="001B66A2"/>
    <w:rsid w:val="001C0484"/>
    <w:rsid w:val="001C1AE7"/>
    <w:rsid w:val="001C1CFC"/>
    <w:rsid w:val="001C5972"/>
    <w:rsid w:val="001D0BE2"/>
    <w:rsid w:val="001D4478"/>
    <w:rsid w:val="001D4E0C"/>
    <w:rsid w:val="001D5A5C"/>
    <w:rsid w:val="001D6DC4"/>
    <w:rsid w:val="001D7BDF"/>
    <w:rsid w:val="001E04F1"/>
    <w:rsid w:val="001E11DA"/>
    <w:rsid w:val="001E28EF"/>
    <w:rsid w:val="001E753C"/>
    <w:rsid w:val="001F0B2B"/>
    <w:rsid w:val="001F0E7A"/>
    <w:rsid w:val="001F173A"/>
    <w:rsid w:val="001F2357"/>
    <w:rsid w:val="002056AE"/>
    <w:rsid w:val="002107DD"/>
    <w:rsid w:val="00212FE1"/>
    <w:rsid w:val="0022129F"/>
    <w:rsid w:val="00221E80"/>
    <w:rsid w:val="00226029"/>
    <w:rsid w:val="00226E1D"/>
    <w:rsid w:val="002317E4"/>
    <w:rsid w:val="002346D8"/>
    <w:rsid w:val="00234BCF"/>
    <w:rsid w:val="00236333"/>
    <w:rsid w:val="0024031A"/>
    <w:rsid w:val="00241A2F"/>
    <w:rsid w:val="00241EC2"/>
    <w:rsid w:val="00242A6D"/>
    <w:rsid w:val="00246BF7"/>
    <w:rsid w:val="00246F5E"/>
    <w:rsid w:val="00250092"/>
    <w:rsid w:val="00250573"/>
    <w:rsid w:val="0025106D"/>
    <w:rsid w:val="002518B1"/>
    <w:rsid w:val="0026187B"/>
    <w:rsid w:val="00264EAB"/>
    <w:rsid w:val="00265FEE"/>
    <w:rsid w:val="00270161"/>
    <w:rsid w:val="0027385A"/>
    <w:rsid w:val="00275DF2"/>
    <w:rsid w:val="0028356B"/>
    <w:rsid w:val="00283713"/>
    <w:rsid w:val="00283738"/>
    <w:rsid w:val="00283860"/>
    <w:rsid w:val="00284882"/>
    <w:rsid w:val="00287547"/>
    <w:rsid w:val="0029061E"/>
    <w:rsid w:val="00292A62"/>
    <w:rsid w:val="00295C92"/>
    <w:rsid w:val="0029619A"/>
    <w:rsid w:val="00296A81"/>
    <w:rsid w:val="002A29BC"/>
    <w:rsid w:val="002B2F96"/>
    <w:rsid w:val="002B4386"/>
    <w:rsid w:val="002B52D5"/>
    <w:rsid w:val="002B69BD"/>
    <w:rsid w:val="002B7CF5"/>
    <w:rsid w:val="002C0BF0"/>
    <w:rsid w:val="002C3D79"/>
    <w:rsid w:val="002C4199"/>
    <w:rsid w:val="002C7839"/>
    <w:rsid w:val="002C7E28"/>
    <w:rsid w:val="002D40C4"/>
    <w:rsid w:val="002D469C"/>
    <w:rsid w:val="002D4FE6"/>
    <w:rsid w:val="002E043A"/>
    <w:rsid w:val="002F0FB8"/>
    <w:rsid w:val="002F1A49"/>
    <w:rsid w:val="002F54DD"/>
    <w:rsid w:val="00302B4B"/>
    <w:rsid w:val="0030456B"/>
    <w:rsid w:val="003062CE"/>
    <w:rsid w:val="00307BD8"/>
    <w:rsid w:val="00310C31"/>
    <w:rsid w:val="003117B9"/>
    <w:rsid w:val="00311B8E"/>
    <w:rsid w:val="00312BBF"/>
    <w:rsid w:val="00313798"/>
    <w:rsid w:val="00314F33"/>
    <w:rsid w:val="00315C2F"/>
    <w:rsid w:val="003204E3"/>
    <w:rsid w:val="00322142"/>
    <w:rsid w:val="00324BAF"/>
    <w:rsid w:val="0032738E"/>
    <w:rsid w:val="00331B18"/>
    <w:rsid w:val="003341D9"/>
    <w:rsid w:val="00341FF8"/>
    <w:rsid w:val="003449BA"/>
    <w:rsid w:val="00352CB6"/>
    <w:rsid w:val="003644C4"/>
    <w:rsid w:val="003702E4"/>
    <w:rsid w:val="00373742"/>
    <w:rsid w:val="00373B78"/>
    <w:rsid w:val="003752C3"/>
    <w:rsid w:val="003764E1"/>
    <w:rsid w:val="00376686"/>
    <w:rsid w:val="00384BC8"/>
    <w:rsid w:val="003870D6"/>
    <w:rsid w:val="00392AE0"/>
    <w:rsid w:val="00393E16"/>
    <w:rsid w:val="003954C5"/>
    <w:rsid w:val="0039579B"/>
    <w:rsid w:val="00396EBE"/>
    <w:rsid w:val="003A0F10"/>
    <w:rsid w:val="003A5202"/>
    <w:rsid w:val="003A5C94"/>
    <w:rsid w:val="003B2030"/>
    <w:rsid w:val="003B214B"/>
    <w:rsid w:val="003B2410"/>
    <w:rsid w:val="003B4C33"/>
    <w:rsid w:val="003C00E0"/>
    <w:rsid w:val="003C049C"/>
    <w:rsid w:val="003C70E2"/>
    <w:rsid w:val="003D036A"/>
    <w:rsid w:val="003D063C"/>
    <w:rsid w:val="003D4335"/>
    <w:rsid w:val="003E20EF"/>
    <w:rsid w:val="003E38A7"/>
    <w:rsid w:val="003E7590"/>
    <w:rsid w:val="003E7958"/>
    <w:rsid w:val="003E7C4A"/>
    <w:rsid w:val="003F0189"/>
    <w:rsid w:val="003F16F9"/>
    <w:rsid w:val="003F2860"/>
    <w:rsid w:val="003F4402"/>
    <w:rsid w:val="00401AAD"/>
    <w:rsid w:val="00401C85"/>
    <w:rsid w:val="00410319"/>
    <w:rsid w:val="00416652"/>
    <w:rsid w:val="00422746"/>
    <w:rsid w:val="0042590F"/>
    <w:rsid w:val="0043250F"/>
    <w:rsid w:val="00436E49"/>
    <w:rsid w:val="0043714C"/>
    <w:rsid w:val="00443332"/>
    <w:rsid w:val="0044534C"/>
    <w:rsid w:val="00445563"/>
    <w:rsid w:val="004502C4"/>
    <w:rsid w:val="00450574"/>
    <w:rsid w:val="00451E97"/>
    <w:rsid w:val="0045350B"/>
    <w:rsid w:val="00454211"/>
    <w:rsid w:val="00454D5A"/>
    <w:rsid w:val="00454E55"/>
    <w:rsid w:val="0045708C"/>
    <w:rsid w:val="00465142"/>
    <w:rsid w:val="00470BAF"/>
    <w:rsid w:val="00473E5E"/>
    <w:rsid w:val="00477B3D"/>
    <w:rsid w:val="004824FE"/>
    <w:rsid w:val="00484D94"/>
    <w:rsid w:val="00486274"/>
    <w:rsid w:val="004862E6"/>
    <w:rsid w:val="00486753"/>
    <w:rsid w:val="00492959"/>
    <w:rsid w:val="00494E7E"/>
    <w:rsid w:val="004A292D"/>
    <w:rsid w:val="004A4F60"/>
    <w:rsid w:val="004A5BEB"/>
    <w:rsid w:val="004B3781"/>
    <w:rsid w:val="004B6477"/>
    <w:rsid w:val="004B771F"/>
    <w:rsid w:val="004C067E"/>
    <w:rsid w:val="004C2158"/>
    <w:rsid w:val="004C36F0"/>
    <w:rsid w:val="004C4C4B"/>
    <w:rsid w:val="004C5D76"/>
    <w:rsid w:val="004D462F"/>
    <w:rsid w:val="004D4FDB"/>
    <w:rsid w:val="004D5470"/>
    <w:rsid w:val="004D5571"/>
    <w:rsid w:val="004E003E"/>
    <w:rsid w:val="004E4834"/>
    <w:rsid w:val="004E6A94"/>
    <w:rsid w:val="004F43D0"/>
    <w:rsid w:val="004F59D5"/>
    <w:rsid w:val="004F5FFB"/>
    <w:rsid w:val="004F6175"/>
    <w:rsid w:val="004F63D0"/>
    <w:rsid w:val="005041E5"/>
    <w:rsid w:val="005044DD"/>
    <w:rsid w:val="00512E01"/>
    <w:rsid w:val="005161F6"/>
    <w:rsid w:val="005169B5"/>
    <w:rsid w:val="00517B26"/>
    <w:rsid w:val="005239F8"/>
    <w:rsid w:val="00523D40"/>
    <w:rsid w:val="00526D7C"/>
    <w:rsid w:val="0053430F"/>
    <w:rsid w:val="00534B20"/>
    <w:rsid w:val="00535D03"/>
    <w:rsid w:val="005374D5"/>
    <w:rsid w:val="00540900"/>
    <w:rsid w:val="00541318"/>
    <w:rsid w:val="00542EE7"/>
    <w:rsid w:val="005435F5"/>
    <w:rsid w:val="00552A67"/>
    <w:rsid w:val="00553997"/>
    <w:rsid w:val="005543E4"/>
    <w:rsid w:val="00555FCE"/>
    <w:rsid w:val="00560189"/>
    <w:rsid w:val="00560444"/>
    <w:rsid w:val="00561E12"/>
    <w:rsid w:val="00565CFF"/>
    <w:rsid w:val="00570AA7"/>
    <w:rsid w:val="00572FBC"/>
    <w:rsid w:val="00573664"/>
    <w:rsid w:val="00573F07"/>
    <w:rsid w:val="0057485E"/>
    <w:rsid w:val="00583382"/>
    <w:rsid w:val="0058465B"/>
    <w:rsid w:val="00585D4C"/>
    <w:rsid w:val="005871DE"/>
    <w:rsid w:val="0059158E"/>
    <w:rsid w:val="00593C28"/>
    <w:rsid w:val="005A27F3"/>
    <w:rsid w:val="005A2F3B"/>
    <w:rsid w:val="005A3302"/>
    <w:rsid w:val="005A4B20"/>
    <w:rsid w:val="005A5F8B"/>
    <w:rsid w:val="005A6A6D"/>
    <w:rsid w:val="005B1A33"/>
    <w:rsid w:val="005B286F"/>
    <w:rsid w:val="005B42C6"/>
    <w:rsid w:val="005B4D8E"/>
    <w:rsid w:val="005B5A55"/>
    <w:rsid w:val="005B74E5"/>
    <w:rsid w:val="005C01EA"/>
    <w:rsid w:val="005C4477"/>
    <w:rsid w:val="005C7917"/>
    <w:rsid w:val="005D0827"/>
    <w:rsid w:val="005D0AA3"/>
    <w:rsid w:val="005D23CA"/>
    <w:rsid w:val="005D2A83"/>
    <w:rsid w:val="005D6FA8"/>
    <w:rsid w:val="005E296C"/>
    <w:rsid w:val="005E44F4"/>
    <w:rsid w:val="005E7E4E"/>
    <w:rsid w:val="005F0128"/>
    <w:rsid w:val="005F4B86"/>
    <w:rsid w:val="005F7505"/>
    <w:rsid w:val="006023C1"/>
    <w:rsid w:val="006042EC"/>
    <w:rsid w:val="00605E1F"/>
    <w:rsid w:val="006109A0"/>
    <w:rsid w:val="00617863"/>
    <w:rsid w:val="00620270"/>
    <w:rsid w:val="00621481"/>
    <w:rsid w:val="006220D2"/>
    <w:rsid w:val="0062417A"/>
    <w:rsid w:val="00625FF2"/>
    <w:rsid w:val="00626F05"/>
    <w:rsid w:val="0063122D"/>
    <w:rsid w:val="00632B3E"/>
    <w:rsid w:val="00641A68"/>
    <w:rsid w:val="00641B7D"/>
    <w:rsid w:val="00642339"/>
    <w:rsid w:val="00651DB5"/>
    <w:rsid w:val="00660BB2"/>
    <w:rsid w:val="00661010"/>
    <w:rsid w:val="00661CA8"/>
    <w:rsid w:val="00665781"/>
    <w:rsid w:val="00666D1E"/>
    <w:rsid w:val="0066782F"/>
    <w:rsid w:val="00674B01"/>
    <w:rsid w:val="0067581B"/>
    <w:rsid w:val="00676B03"/>
    <w:rsid w:val="00677474"/>
    <w:rsid w:val="00683675"/>
    <w:rsid w:val="00683A61"/>
    <w:rsid w:val="00686225"/>
    <w:rsid w:val="00693325"/>
    <w:rsid w:val="006939E9"/>
    <w:rsid w:val="006945A5"/>
    <w:rsid w:val="00695D65"/>
    <w:rsid w:val="00695FCF"/>
    <w:rsid w:val="00697337"/>
    <w:rsid w:val="00697E88"/>
    <w:rsid w:val="006A062D"/>
    <w:rsid w:val="006A2333"/>
    <w:rsid w:val="006B2086"/>
    <w:rsid w:val="006D092B"/>
    <w:rsid w:val="006D4211"/>
    <w:rsid w:val="006D4EFE"/>
    <w:rsid w:val="006D6EDC"/>
    <w:rsid w:val="006D7875"/>
    <w:rsid w:val="006D7D4F"/>
    <w:rsid w:val="006E0B5D"/>
    <w:rsid w:val="006E12F1"/>
    <w:rsid w:val="006E5B50"/>
    <w:rsid w:val="006F5FBF"/>
    <w:rsid w:val="006F6DE3"/>
    <w:rsid w:val="0070325E"/>
    <w:rsid w:val="00704776"/>
    <w:rsid w:val="007047AA"/>
    <w:rsid w:val="00705A8B"/>
    <w:rsid w:val="007077A0"/>
    <w:rsid w:val="007100DD"/>
    <w:rsid w:val="00712885"/>
    <w:rsid w:val="0071786A"/>
    <w:rsid w:val="007208D0"/>
    <w:rsid w:val="0072351D"/>
    <w:rsid w:val="007245ED"/>
    <w:rsid w:val="00725308"/>
    <w:rsid w:val="00732D2D"/>
    <w:rsid w:val="00734BCD"/>
    <w:rsid w:val="007371E1"/>
    <w:rsid w:val="0074028C"/>
    <w:rsid w:val="00742F99"/>
    <w:rsid w:val="00750C5C"/>
    <w:rsid w:val="007515B7"/>
    <w:rsid w:val="007553F1"/>
    <w:rsid w:val="00755D1B"/>
    <w:rsid w:val="00755F59"/>
    <w:rsid w:val="00756E60"/>
    <w:rsid w:val="007577E6"/>
    <w:rsid w:val="007620A6"/>
    <w:rsid w:val="00762916"/>
    <w:rsid w:val="00763CC3"/>
    <w:rsid w:val="007642D4"/>
    <w:rsid w:val="007646E5"/>
    <w:rsid w:val="007660BA"/>
    <w:rsid w:val="00770A61"/>
    <w:rsid w:val="00780981"/>
    <w:rsid w:val="00781957"/>
    <w:rsid w:val="0078274D"/>
    <w:rsid w:val="00784E03"/>
    <w:rsid w:val="007860DE"/>
    <w:rsid w:val="00787123"/>
    <w:rsid w:val="00787EA5"/>
    <w:rsid w:val="00792EF8"/>
    <w:rsid w:val="0079305A"/>
    <w:rsid w:val="00794EFB"/>
    <w:rsid w:val="007A100C"/>
    <w:rsid w:val="007A1575"/>
    <w:rsid w:val="007A4119"/>
    <w:rsid w:val="007A4CFB"/>
    <w:rsid w:val="007A6590"/>
    <w:rsid w:val="007A6981"/>
    <w:rsid w:val="007B070C"/>
    <w:rsid w:val="007B0910"/>
    <w:rsid w:val="007B1430"/>
    <w:rsid w:val="007B211A"/>
    <w:rsid w:val="007B25E2"/>
    <w:rsid w:val="007C07B1"/>
    <w:rsid w:val="007C1210"/>
    <w:rsid w:val="007C1A5C"/>
    <w:rsid w:val="007C3558"/>
    <w:rsid w:val="007D32FF"/>
    <w:rsid w:val="007D3A4E"/>
    <w:rsid w:val="007D6F7C"/>
    <w:rsid w:val="007E122D"/>
    <w:rsid w:val="007F04D2"/>
    <w:rsid w:val="007F29EF"/>
    <w:rsid w:val="007F673E"/>
    <w:rsid w:val="00802A2E"/>
    <w:rsid w:val="00805FDB"/>
    <w:rsid w:val="008068FE"/>
    <w:rsid w:val="008075C7"/>
    <w:rsid w:val="008156D9"/>
    <w:rsid w:val="00816081"/>
    <w:rsid w:val="008162F0"/>
    <w:rsid w:val="00817C87"/>
    <w:rsid w:val="00822A56"/>
    <w:rsid w:val="00825510"/>
    <w:rsid w:val="00831985"/>
    <w:rsid w:val="008328A0"/>
    <w:rsid w:val="00834D9E"/>
    <w:rsid w:val="00836581"/>
    <w:rsid w:val="0083708B"/>
    <w:rsid w:val="00837488"/>
    <w:rsid w:val="008400DC"/>
    <w:rsid w:val="00842A4D"/>
    <w:rsid w:val="008520CA"/>
    <w:rsid w:val="008539E9"/>
    <w:rsid w:val="00854B3B"/>
    <w:rsid w:val="00855B13"/>
    <w:rsid w:val="00857DF9"/>
    <w:rsid w:val="00860395"/>
    <w:rsid w:val="008632B3"/>
    <w:rsid w:val="008648B8"/>
    <w:rsid w:val="00864C59"/>
    <w:rsid w:val="00865518"/>
    <w:rsid w:val="008701FE"/>
    <w:rsid w:val="008702EB"/>
    <w:rsid w:val="00873D45"/>
    <w:rsid w:val="0087449A"/>
    <w:rsid w:val="00874BE7"/>
    <w:rsid w:val="00876F85"/>
    <w:rsid w:val="0088047F"/>
    <w:rsid w:val="00881A4E"/>
    <w:rsid w:val="00887172"/>
    <w:rsid w:val="00887BB0"/>
    <w:rsid w:val="0089225B"/>
    <w:rsid w:val="008972E6"/>
    <w:rsid w:val="008A102B"/>
    <w:rsid w:val="008A289D"/>
    <w:rsid w:val="008A3B61"/>
    <w:rsid w:val="008A6A74"/>
    <w:rsid w:val="008A7B26"/>
    <w:rsid w:val="008B0750"/>
    <w:rsid w:val="008B12F9"/>
    <w:rsid w:val="008B2806"/>
    <w:rsid w:val="008B394E"/>
    <w:rsid w:val="008B4AD3"/>
    <w:rsid w:val="008B4AE9"/>
    <w:rsid w:val="008C04A0"/>
    <w:rsid w:val="008C0D71"/>
    <w:rsid w:val="008C517D"/>
    <w:rsid w:val="008D1017"/>
    <w:rsid w:val="008D3194"/>
    <w:rsid w:val="008D4E30"/>
    <w:rsid w:val="008D5CE6"/>
    <w:rsid w:val="008E08DD"/>
    <w:rsid w:val="008E0BF2"/>
    <w:rsid w:val="008E2B75"/>
    <w:rsid w:val="008F21F3"/>
    <w:rsid w:val="008F254F"/>
    <w:rsid w:val="008F66B3"/>
    <w:rsid w:val="008F7220"/>
    <w:rsid w:val="009036EF"/>
    <w:rsid w:val="009038EC"/>
    <w:rsid w:val="0090527C"/>
    <w:rsid w:val="0090623E"/>
    <w:rsid w:val="00911A69"/>
    <w:rsid w:val="00912D46"/>
    <w:rsid w:val="009203DC"/>
    <w:rsid w:val="00924B2F"/>
    <w:rsid w:val="009263BC"/>
    <w:rsid w:val="00932FF9"/>
    <w:rsid w:val="00935931"/>
    <w:rsid w:val="00941010"/>
    <w:rsid w:val="00941E11"/>
    <w:rsid w:val="00941ED8"/>
    <w:rsid w:val="00944E92"/>
    <w:rsid w:val="00947D62"/>
    <w:rsid w:val="00952661"/>
    <w:rsid w:val="009538DD"/>
    <w:rsid w:val="00953C57"/>
    <w:rsid w:val="0095482E"/>
    <w:rsid w:val="009571A4"/>
    <w:rsid w:val="00960E13"/>
    <w:rsid w:val="00962AD8"/>
    <w:rsid w:val="00963282"/>
    <w:rsid w:val="00967229"/>
    <w:rsid w:val="00970BC9"/>
    <w:rsid w:val="00971A55"/>
    <w:rsid w:val="00977760"/>
    <w:rsid w:val="00980475"/>
    <w:rsid w:val="009817E6"/>
    <w:rsid w:val="00986FC2"/>
    <w:rsid w:val="009874A3"/>
    <w:rsid w:val="009874C3"/>
    <w:rsid w:val="009902A5"/>
    <w:rsid w:val="00991601"/>
    <w:rsid w:val="00991F6B"/>
    <w:rsid w:val="00995213"/>
    <w:rsid w:val="009965D5"/>
    <w:rsid w:val="00996A7F"/>
    <w:rsid w:val="0099787E"/>
    <w:rsid w:val="009A198A"/>
    <w:rsid w:val="009A54DE"/>
    <w:rsid w:val="009A55FB"/>
    <w:rsid w:val="009A6D75"/>
    <w:rsid w:val="009A736A"/>
    <w:rsid w:val="009B12BA"/>
    <w:rsid w:val="009B3F80"/>
    <w:rsid w:val="009B5AC5"/>
    <w:rsid w:val="009C1D0C"/>
    <w:rsid w:val="009C4DCE"/>
    <w:rsid w:val="009C5E3F"/>
    <w:rsid w:val="009C6496"/>
    <w:rsid w:val="009D27AA"/>
    <w:rsid w:val="009D312A"/>
    <w:rsid w:val="009D52EB"/>
    <w:rsid w:val="009D55D1"/>
    <w:rsid w:val="009E7CC2"/>
    <w:rsid w:val="009F04CB"/>
    <w:rsid w:val="009F574E"/>
    <w:rsid w:val="009F7502"/>
    <w:rsid w:val="00A010B4"/>
    <w:rsid w:val="00A068AC"/>
    <w:rsid w:val="00A06D68"/>
    <w:rsid w:val="00A07395"/>
    <w:rsid w:val="00A1121A"/>
    <w:rsid w:val="00A11C2A"/>
    <w:rsid w:val="00A121D8"/>
    <w:rsid w:val="00A20953"/>
    <w:rsid w:val="00A23152"/>
    <w:rsid w:val="00A23B44"/>
    <w:rsid w:val="00A24D00"/>
    <w:rsid w:val="00A26BF5"/>
    <w:rsid w:val="00A34621"/>
    <w:rsid w:val="00A3555A"/>
    <w:rsid w:val="00A36933"/>
    <w:rsid w:val="00A36D5A"/>
    <w:rsid w:val="00A41FFF"/>
    <w:rsid w:val="00A4674D"/>
    <w:rsid w:val="00A50081"/>
    <w:rsid w:val="00A50BCE"/>
    <w:rsid w:val="00A51175"/>
    <w:rsid w:val="00A51E11"/>
    <w:rsid w:val="00A54410"/>
    <w:rsid w:val="00A54D96"/>
    <w:rsid w:val="00A55DD3"/>
    <w:rsid w:val="00A63D23"/>
    <w:rsid w:val="00A6437F"/>
    <w:rsid w:val="00A67F97"/>
    <w:rsid w:val="00A736AB"/>
    <w:rsid w:val="00A75B6E"/>
    <w:rsid w:val="00A77E89"/>
    <w:rsid w:val="00A82091"/>
    <w:rsid w:val="00A822F4"/>
    <w:rsid w:val="00AA1467"/>
    <w:rsid w:val="00AA7797"/>
    <w:rsid w:val="00AB1A3F"/>
    <w:rsid w:val="00AB28CF"/>
    <w:rsid w:val="00AC315C"/>
    <w:rsid w:val="00AC3803"/>
    <w:rsid w:val="00AC3C5E"/>
    <w:rsid w:val="00AC5475"/>
    <w:rsid w:val="00AC7AFE"/>
    <w:rsid w:val="00AD0416"/>
    <w:rsid w:val="00AD1E04"/>
    <w:rsid w:val="00AD1F54"/>
    <w:rsid w:val="00AD630B"/>
    <w:rsid w:val="00AE0CC6"/>
    <w:rsid w:val="00AE12C2"/>
    <w:rsid w:val="00AE7F10"/>
    <w:rsid w:val="00AF2AF3"/>
    <w:rsid w:val="00AF749B"/>
    <w:rsid w:val="00B034F2"/>
    <w:rsid w:val="00B0460A"/>
    <w:rsid w:val="00B05BFA"/>
    <w:rsid w:val="00B11D8E"/>
    <w:rsid w:val="00B14235"/>
    <w:rsid w:val="00B165DE"/>
    <w:rsid w:val="00B17BE0"/>
    <w:rsid w:val="00B231A5"/>
    <w:rsid w:val="00B24262"/>
    <w:rsid w:val="00B249F3"/>
    <w:rsid w:val="00B25638"/>
    <w:rsid w:val="00B263D8"/>
    <w:rsid w:val="00B27439"/>
    <w:rsid w:val="00B354B5"/>
    <w:rsid w:val="00B36047"/>
    <w:rsid w:val="00B4034D"/>
    <w:rsid w:val="00B43FAB"/>
    <w:rsid w:val="00B45F50"/>
    <w:rsid w:val="00B50F7C"/>
    <w:rsid w:val="00B53DE9"/>
    <w:rsid w:val="00B53E41"/>
    <w:rsid w:val="00B55E1E"/>
    <w:rsid w:val="00B5720F"/>
    <w:rsid w:val="00B60650"/>
    <w:rsid w:val="00B60C9D"/>
    <w:rsid w:val="00B61423"/>
    <w:rsid w:val="00B61CEB"/>
    <w:rsid w:val="00B61F1F"/>
    <w:rsid w:val="00B623A5"/>
    <w:rsid w:val="00B65F31"/>
    <w:rsid w:val="00B66350"/>
    <w:rsid w:val="00B70AEF"/>
    <w:rsid w:val="00B70D4B"/>
    <w:rsid w:val="00B72429"/>
    <w:rsid w:val="00B74162"/>
    <w:rsid w:val="00B743A7"/>
    <w:rsid w:val="00B76E27"/>
    <w:rsid w:val="00B771A4"/>
    <w:rsid w:val="00B90CB6"/>
    <w:rsid w:val="00B92AB1"/>
    <w:rsid w:val="00B96F2F"/>
    <w:rsid w:val="00B97D39"/>
    <w:rsid w:val="00BA43E3"/>
    <w:rsid w:val="00BA467E"/>
    <w:rsid w:val="00BB05E0"/>
    <w:rsid w:val="00BB3FB2"/>
    <w:rsid w:val="00BB41E6"/>
    <w:rsid w:val="00BC396E"/>
    <w:rsid w:val="00BC689B"/>
    <w:rsid w:val="00BC744E"/>
    <w:rsid w:val="00BC7F33"/>
    <w:rsid w:val="00BD430A"/>
    <w:rsid w:val="00BD4549"/>
    <w:rsid w:val="00BE117E"/>
    <w:rsid w:val="00BE5750"/>
    <w:rsid w:val="00BE7743"/>
    <w:rsid w:val="00BF164B"/>
    <w:rsid w:val="00BF3AB4"/>
    <w:rsid w:val="00BF6298"/>
    <w:rsid w:val="00BF786A"/>
    <w:rsid w:val="00C01885"/>
    <w:rsid w:val="00C031B9"/>
    <w:rsid w:val="00C10F7B"/>
    <w:rsid w:val="00C11FBC"/>
    <w:rsid w:val="00C124FD"/>
    <w:rsid w:val="00C14A74"/>
    <w:rsid w:val="00C152C4"/>
    <w:rsid w:val="00C15A07"/>
    <w:rsid w:val="00C16AB0"/>
    <w:rsid w:val="00C17CE2"/>
    <w:rsid w:val="00C20DAA"/>
    <w:rsid w:val="00C22656"/>
    <w:rsid w:val="00C22A18"/>
    <w:rsid w:val="00C25894"/>
    <w:rsid w:val="00C2775C"/>
    <w:rsid w:val="00C307C5"/>
    <w:rsid w:val="00C35142"/>
    <w:rsid w:val="00C3531E"/>
    <w:rsid w:val="00C3636C"/>
    <w:rsid w:val="00C374ED"/>
    <w:rsid w:val="00C37E06"/>
    <w:rsid w:val="00C41A22"/>
    <w:rsid w:val="00C41BEF"/>
    <w:rsid w:val="00C43853"/>
    <w:rsid w:val="00C45F82"/>
    <w:rsid w:val="00C46B2E"/>
    <w:rsid w:val="00C50FB2"/>
    <w:rsid w:val="00C51B7F"/>
    <w:rsid w:val="00C530EB"/>
    <w:rsid w:val="00C53BEF"/>
    <w:rsid w:val="00C5678C"/>
    <w:rsid w:val="00C56A6C"/>
    <w:rsid w:val="00C571EC"/>
    <w:rsid w:val="00C5782D"/>
    <w:rsid w:val="00C600A3"/>
    <w:rsid w:val="00C60736"/>
    <w:rsid w:val="00C74526"/>
    <w:rsid w:val="00C8388F"/>
    <w:rsid w:val="00C90DDB"/>
    <w:rsid w:val="00C94FE9"/>
    <w:rsid w:val="00CA1D70"/>
    <w:rsid w:val="00CA224C"/>
    <w:rsid w:val="00CA2540"/>
    <w:rsid w:val="00CA358A"/>
    <w:rsid w:val="00CA3616"/>
    <w:rsid w:val="00CB139D"/>
    <w:rsid w:val="00CB5DEB"/>
    <w:rsid w:val="00CB6061"/>
    <w:rsid w:val="00CB6137"/>
    <w:rsid w:val="00CC105A"/>
    <w:rsid w:val="00CC40BA"/>
    <w:rsid w:val="00CC4E58"/>
    <w:rsid w:val="00CD077E"/>
    <w:rsid w:val="00CD1DD5"/>
    <w:rsid w:val="00CD3689"/>
    <w:rsid w:val="00CD3D6D"/>
    <w:rsid w:val="00CD4C24"/>
    <w:rsid w:val="00CD6C01"/>
    <w:rsid w:val="00CE114A"/>
    <w:rsid w:val="00CE24F0"/>
    <w:rsid w:val="00CE2D60"/>
    <w:rsid w:val="00CE4372"/>
    <w:rsid w:val="00CE43A7"/>
    <w:rsid w:val="00CE46E6"/>
    <w:rsid w:val="00CE5A19"/>
    <w:rsid w:val="00CF007B"/>
    <w:rsid w:val="00CF3F0D"/>
    <w:rsid w:val="00CF65BD"/>
    <w:rsid w:val="00CF6698"/>
    <w:rsid w:val="00D00E7B"/>
    <w:rsid w:val="00D0310A"/>
    <w:rsid w:val="00D03FCF"/>
    <w:rsid w:val="00D1326E"/>
    <w:rsid w:val="00D1369F"/>
    <w:rsid w:val="00D13E0D"/>
    <w:rsid w:val="00D1606A"/>
    <w:rsid w:val="00D27297"/>
    <w:rsid w:val="00D343B9"/>
    <w:rsid w:val="00D41264"/>
    <w:rsid w:val="00D417FF"/>
    <w:rsid w:val="00D5238A"/>
    <w:rsid w:val="00D55763"/>
    <w:rsid w:val="00D561FF"/>
    <w:rsid w:val="00D64FA3"/>
    <w:rsid w:val="00D72CC8"/>
    <w:rsid w:val="00D7439A"/>
    <w:rsid w:val="00D760B5"/>
    <w:rsid w:val="00D77145"/>
    <w:rsid w:val="00D84FC5"/>
    <w:rsid w:val="00D86E0A"/>
    <w:rsid w:val="00D94341"/>
    <w:rsid w:val="00D96177"/>
    <w:rsid w:val="00D9718C"/>
    <w:rsid w:val="00D979DF"/>
    <w:rsid w:val="00DA0E73"/>
    <w:rsid w:val="00DA682E"/>
    <w:rsid w:val="00DB7C85"/>
    <w:rsid w:val="00DC0298"/>
    <w:rsid w:val="00DC1721"/>
    <w:rsid w:val="00DC1D6E"/>
    <w:rsid w:val="00DC27EE"/>
    <w:rsid w:val="00DD070A"/>
    <w:rsid w:val="00DD2653"/>
    <w:rsid w:val="00DD3E0E"/>
    <w:rsid w:val="00DD5AAD"/>
    <w:rsid w:val="00DE21EE"/>
    <w:rsid w:val="00DE3C99"/>
    <w:rsid w:val="00DE4C20"/>
    <w:rsid w:val="00DE512B"/>
    <w:rsid w:val="00DE52A1"/>
    <w:rsid w:val="00DE6C9C"/>
    <w:rsid w:val="00DE705D"/>
    <w:rsid w:val="00DF7320"/>
    <w:rsid w:val="00E00098"/>
    <w:rsid w:val="00E04A9D"/>
    <w:rsid w:val="00E05EE0"/>
    <w:rsid w:val="00E1142F"/>
    <w:rsid w:val="00E16725"/>
    <w:rsid w:val="00E20D86"/>
    <w:rsid w:val="00E25E59"/>
    <w:rsid w:val="00E34017"/>
    <w:rsid w:val="00E34646"/>
    <w:rsid w:val="00E348B1"/>
    <w:rsid w:val="00E364A9"/>
    <w:rsid w:val="00E4346F"/>
    <w:rsid w:val="00E45D6B"/>
    <w:rsid w:val="00E469E8"/>
    <w:rsid w:val="00E50AB3"/>
    <w:rsid w:val="00E50FF2"/>
    <w:rsid w:val="00E52AF0"/>
    <w:rsid w:val="00E54065"/>
    <w:rsid w:val="00E60280"/>
    <w:rsid w:val="00E620EC"/>
    <w:rsid w:val="00E62A3D"/>
    <w:rsid w:val="00E62C8D"/>
    <w:rsid w:val="00E63FC2"/>
    <w:rsid w:val="00E7197A"/>
    <w:rsid w:val="00E72F46"/>
    <w:rsid w:val="00E76BDD"/>
    <w:rsid w:val="00E805C3"/>
    <w:rsid w:val="00E805E2"/>
    <w:rsid w:val="00E8171A"/>
    <w:rsid w:val="00E8383A"/>
    <w:rsid w:val="00E83D0A"/>
    <w:rsid w:val="00E87FD1"/>
    <w:rsid w:val="00E9097E"/>
    <w:rsid w:val="00E96115"/>
    <w:rsid w:val="00EA2035"/>
    <w:rsid w:val="00EA22A5"/>
    <w:rsid w:val="00EA2930"/>
    <w:rsid w:val="00EA5564"/>
    <w:rsid w:val="00EB425C"/>
    <w:rsid w:val="00EB7954"/>
    <w:rsid w:val="00ED2CEA"/>
    <w:rsid w:val="00ED7812"/>
    <w:rsid w:val="00EE08B9"/>
    <w:rsid w:val="00EE7205"/>
    <w:rsid w:val="00EE722B"/>
    <w:rsid w:val="00EF0405"/>
    <w:rsid w:val="00EF2A5A"/>
    <w:rsid w:val="00EF2C50"/>
    <w:rsid w:val="00EF50C2"/>
    <w:rsid w:val="00EF538B"/>
    <w:rsid w:val="00EF6E20"/>
    <w:rsid w:val="00EF761E"/>
    <w:rsid w:val="00F007EE"/>
    <w:rsid w:val="00F02886"/>
    <w:rsid w:val="00F043DD"/>
    <w:rsid w:val="00F14814"/>
    <w:rsid w:val="00F153E9"/>
    <w:rsid w:val="00F156BC"/>
    <w:rsid w:val="00F24BA7"/>
    <w:rsid w:val="00F408A3"/>
    <w:rsid w:val="00F41288"/>
    <w:rsid w:val="00F4131A"/>
    <w:rsid w:val="00F4211C"/>
    <w:rsid w:val="00F47B51"/>
    <w:rsid w:val="00F50F5B"/>
    <w:rsid w:val="00F638ED"/>
    <w:rsid w:val="00F6513C"/>
    <w:rsid w:val="00F757C9"/>
    <w:rsid w:val="00F7716B"/>
    <w:rsid w:val="00F80678"/>
    <w:rsid w:val="00F8210A"/>
    <w:rsid w:val="00F84C97"/>
    <w:rsid w:val="00F87722"/>
    <w:rsid w:val="00F87FEE"/>
    <w:rsid w:val="00F90952"/>
    <w:rsid w:val="00F90E4C"/>
    <w:rsid w:val="00F90FE9"/>
    <w:rsid w:val="00F92B03"/>
    <w:rsid w:val="00F96D0C"/>
    <w:rsid w:val="00FA2EE2"/>
    <w:rsid w:val="00FA37A8"/>
    <w:rsid w:val="00FA5633"/>
    <w:rsid w:val="00FA5C75"/>
    <w:rsid w:val="00FA6F6B"/>
    <w:rsid w:val="00FA758D"/>
    <w:rsid w:val="00FB1FBE"/>
    <w:rsid w:val="00FB63FE"/>
    <w:rsid w:val="00FD0EB0"/>
    <w:rsid w:val="00FD29A3"/>
    <w:rsid w:val="00FD38B5"/>
    <w:rsid w:val="00FD7135"/>
    <w:rsid w:val="00FE4734"/>
    <w:rsid w:val="00FE4A92"/>
    <w:rsid w:val="00FE5F28"/>
    <w:rsid w:val="00FE7699"/>
    <w:rsid w:val="00FF113B"/>
    <w:rsid w:val="00FF2775"/>
    <w:rsid w:val="00FF3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EB8E"/>
  <w15:chartTrackingRefBased/>
  <w15:docId w15:val="{1A489390-AEBB-438D-A61E-58CEFB1D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Copy"/>
    <w:rsid w:val="007C1A5C"/>
    <w:pPr>
      <w:spacing w:after="200" w:line="240" w:lineRule="auto"/>
    </w:pPr>
    <w:rPr>
      <w:rFonts w:ascii="Arial" w:hAnsi="Arial"/>
      <w:sz w:val="18"/>
    </w:rPr>
  </w:style>
  <w:style w:type="paragraph" w:styleId="Heading1">
    <w:name w:val="heading 1"/>
    <w:basedOn w:val="Normal"/>
    <w:next w:val="BodyCopy"/>
    <w:link w:val="Heading1Char"/>
    <w:uiPriority w:val="9"/>
    <w:qFormat/>
    <w:rsid w:val="00756E60"/>
    <w:pPr>
      <w:keepNext/>
      <w:keepLines/>
      <w:numPr>
        <w:numId w:val="6"/>
      </w:numPr>
      <w:spacing w:before="360" w:after="240"/>
      <w:outlineLvl w:val="0"/>
    </w:pPr>
    <w:rPr>
      <w:rFonts w:eastAsiaTheme="majorEastAsia" w:cstheme="majorBidi"/>
      <w:b/>
      <w:color w:val="D86018"/>
      <w:sz w:val="22"/>
      <w:szCs w:val="32"/>
    </w:rPr>
  </w:style>
  <w:style w:type="paragraph" w:styleId="Heading2">
    <w:name w:val="heading 2"/>
    <w:basedOn w:val="Normal"/>
    <w:next w:val="BodyCopy"/>
    <w:link w:val="Heading2Char"/>
    <w:uiPriority w:val="9"/>
    <w:unhideWhenUsed/>
    <w:qFormat/>
    <w:rsid w:val="00292A62"/>
    <w:pPr>
      <w:keepNext/>
      <w:keepLines/>
      <w:numPr>
        <w:ilvl w:val="1"/>
        <w:numId w:val="6"/>
      </w:numPr>
      <w:spacing w:before="280" w:after="120"/>
      <w:ind w:left="578" w:hanging="578"/>
      <w:outlineLvl w:val="1"/>
    </w:pPr>
    <w:rPr>
      <w:rFonts w:eastAsiaTheme="majorEastAsia" w:cstheme="majorBidi"/>
      <w:b/>
      <w:szCs w:val="26"/>
    </w:rPr>
  </w:style>
  <w:style w:type="paragraph" w:styleId="Heading3">
    <w:name w:val="heading 3"/>
    <w:basedOn w:val="Normal"/>
    <w:next w:val="BodyCopy"/>
    <w:link w:val="Heading3Char"/>
    <w:uiPriority w:val="9"/>
    <w:unhideWhenUsed/>
    <w:qFormat/>
    <w:rsid w:val="00AA1467"/>
    <w:pPr>
      <w:keepNext/>
      <w:keepLines/>
      <w:numPr>
        <w:ilvl w:val="2"/>
        <w:numId w:val="6"/>
      </w:numPr>
      <w:spacing w:before="280" w:after="120"/>
      <w:outlineLvl w:val="2"/>
    </w:pPr>
    <w:rPr>
      <w:rFonts w:eastAsiaTheme="majorEastAsia" w:cstheme="majorBidi"/>
      <w:b/>
      <w:i/>
      <w:szCs w:val="24"/>
    </w:rPr>
  </w:style>
  <w:style w:type="paragraph" w:styleId="Heading4">
    <w:name w:val="heading 4"/>
    <w:basedOn w:val="Heading3"/>
    <w:next w:val="BodyCopy"/>
    <w:link w:val="Heading4Char"/>
    <w:uiPriority w:val="9"/>
    <w:unhideWhenUsed/>
    <w:qFormat/>
    <w:rsid w:val="00292A62"/>
    <w:pPr>
      <w:numPr>
        <w:ilvl w:val="3"/>
      </w:numPr>
      <w:ind w:left="862" w:hanging="862"/>
      <w:outlineLvl w:val="3"/>
    </w:pPr>
    <w:rPr>
      <w:bCs/>
      <w:iCs/>
    </w:rPr>
  </w:style>
  <w:style w:type="paragraph" w:styleId="Heading5">
    <w:name w:val="heading 5"/>
    <w:basedOn w:val="Heading4"/>
    <w:next w:val="BodyCopy"/>
    <w:link w:val="Heading5Char"/>
    <w:uiPriority w:val="9"/>
    <w:unhideWhenUsed/>
    <w:qFormat/>
    <w:rsid w:val="00292A62"/>
    <w:pPr>
      <w:numPr>
        <w:ilvl w:val="4"/>
      </w:numPr>
      <w:ind w:left="1009" w:hanging="1009"/>
      <w:outlineLvl w:val="4"/>
    </w:pPr>
  </w:style>
  <w:style w:type="paragraph" w:styleId="Heading6">
    <w:name w:val="heading 6"/>
    <w:aliases w:val="Figure"/>
    <w:basedOn w:val="Normal"/>
    <w:next w:val="BodyCopy"/>
    <w:link w:val="Heading6Char"/>
    <w:uiPriority w:val="9"/>
    <w:unhideWhenUsed/>
    <w:rsid w:val="00865518"/>
    <w:pPr>
      <w:keepNext/>
      <w:keepLines/>
      <w:spacing w:before="120" w:after="40"/>
      <w:outlineLvl w:val="5"/>
    </w:pPr>
    <w:rPr>
      <w:rFonts w:eastAsiaTheme="majorEastAsia" w:cs="Arial"/>
      <w:b/>
      <w:i/>
      <w:iCs/>
      <w:color w:val="7A8390" w:themeColor="accent6"/>
      <w:sz w:val="14"/>
      <w:szCs w:val="18"/>
    </w:rPr>
  </w:style>
  <w:style w:type="paragraph" w:styleId="Heading7">
    <w:name w:val="heading 7"/>
    <w:basedOn w:val="Normal"/>
    <w:next w:val="Normal"/>
    <w:link w:val="Heading7Char"/>
    <w:uiPriority w:val="9"/>
    <w:semiHidden/>
    <w:unhideWhenUsed/>
    <w:qFormat/>
    <w:rsid w:val="00315C2F"/>
    <w:pPr>
      <w:keepNext/>
      <w:keepLines/>
      <w:numPr>
        <w:ilvl w:val="6"/>
        <w:numId w:val="6"/>
      </w:numPr>
      <w:spacing w:before="200" w:after="0"/>
      <w:outlineLvl w:val="6"/>
    </w:pPr>
    <w:rPr>
      <w:rFonts w:asciiTheme="majorHAnsi" w:eastAsiaTheme="majorEastAsia" w:hAnsiTheme="majorHAnsi" w:cstheme="majorBidi"/>
      <w:i/>
      <w:iCs/>
      <w:color w:val="636E8A" w:themeColor="text1" w:themeTint="BF"/>
    </w:rPr>
  </w:style>
  <w:style w:type="paragraph" w:styleId="Heading8">
    <w:name w:val="heading 8"/>
    <w:basedOn w:val="Normal"/>
    <w:next w:val="Normal"/>
    <w:link w:val="Heading8Char"/>
    <w:uiPriority w:val="9"/>
    <w:semiHidden/>
    <w:unhideWhenUsed/>
    <w:qFormat/>
    <w:rsid w:val="00315C2F"/>
    <w:pPr>
      <w:keepNext/>
      <w:keepLines/>
      <w:numPr>
        <w:ilvl w:val="7"/>
        <w:numId w:val="6"/>
      </w:numPr>
      <w:spacing w:before="200" w:after="0"/>
      <w:outlineLvl w:val="7"/>
    </w:pPr>
    <w:rPr>
      <w:rFonts w:asciiTheme="majorHAnsi" w:eastAsiaTheme="majorEastAsia" w:hAnsiTheme="majorHAnsi" w:cstheme="majorBidi"/>
      <w:color w:val="636E8A" w:themeColor="text1" w:themeTint="BF"/>
      <w:szCs w:val="20"/>
    </w:rPr>
  </w:style>
  <w:style w:type="paragraph" w:styleId="Heading9">
    <w:name w:val="heading 9"/>
    <w:basedOn w:val="Normal"/>
    <w:next w:val="Normal"/>
    <w:link w:val="Heading9Char"/>
    <w:uiPriority w:val="9"/>
    <w:semiHidden/>
    <w:unhideWhenUsed/>
    <w:qFormat/>
    <w:rsid w:val="00315C2F"/>
    <w:pPr>
      <w:keepNext/>
      <w:keepLines/>
      <w:numPr>
        <w:ilvl w:val="8"/>
        <w:numId w:val="6"/>
      </w:numPr>
      <w:spacing w:before="200" w:after="0"/>
      <w:outlineLvl w:val="8"/>
    </w:pPr>
    <w:rPr>
      <w:rFonts w:asciiTheme="majorHAnsi" w:eastAsiaTheme="majorEastAsia" w:hAnsiTheme="majorHAnsi" w:cstheme="majorBidi"/>
      <w:i/>
      <w:iCs/>
      <w:color w:val="636E8A"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ing">
    <w:name w:val="Document Heading"/>
    <w:basedOn w:val="Normal"/>
    <w:qFormat/>
    <w:rsid w:val="00AA1467"/>
    <w:pPr>
      <w:spacing w:line="800" w:lineRule="exact"/>
    </w:pPr>
    <w:rPr>
      <w:b/>
      <w:bCs/>
      <w:caps/>
      <w:color w:val="3D4455" w:themeColor="text1"/>
      <w:sz w:val="56"/>
      <w:szCs w:val="56"/>
    </w:rPr>
  </w:style>
  <w:style w:type="paragraph" w:styleId="Header">
    <w:name w:val="header"/>
    <w:basedOn w:val="Normal"/>
    <w:link w:val="HeaderChar"/>
    <w:uiPriority w:val="99"/>
    <w:unhideWhenUsed/>
    <w:rsid w:val="0089225B"/>
    <w:pPr>
      <w:tabs>
        <w:tab w:val="center" w:pos="4513"/>
        <w:tab w:val="right" w:pos="9026"/>
      </w:tabs>
      <w:spacing w:after="0"/>
    </w:pPr>
  </w:style>
  <w:style w:type="character" w:customStyle="1" w:styleId="HeaderChar">
    <w:name w:val="Header Char"/>
    <w:basedOn w:val="DefaultParagraphFont"/>
    <w:link w:val="Header"/>
    <w:uiPriority w:val="99"/>
    <w:rsid w:val="0089225B"/>
  </w:style>
  <w:style w:type="paragraph" w:styleId="Footer">
    <w:name w:val="footer"/>
    <w:basedOn w:val="Normal"/>
    <w:link w:val="FooterChar"/>
    <w:uiPriority w:val="99"/>
    <w:unhideWhenUsed/>
    <w:rsid w:val="0089225B"/>
    <w:pPr>
      <w:tabs>
        <w:tab w:val="center" w:pos="4513"/>
        <w:tab w:val="right" w:pos="9026"/>
      </w:tabs>
      <w:spacing w:after="0"/>
    </w:pPr>
  </w:style>
  <w:style w:type="character" w:customStyle="1" w:styleId="FooterChar">
    <w:name w:val="Footer Char"/>
    <w:basedOn w:val="DefaultParagraphFont"/>
    <w:link w:val="Footer"/>
    <w:uiPriority w:val="99"/>
    <w:rsid w:val="0089225B"/>
  </w:style>
  <w:style w:type="paragraph" w:customStyle="1" w:styleId="Tabledata">
    <w:name w:val="Table data"/>
    <w:basedOn w:val="TableDataHeading"/>
    <w:qFormat/>
    <w:rsid w:val="002C4199"/>
    <w:rPr>
      <w:b w:val="0"/>
      <w:caps w:val="0"/>
    </w:rPr>
  </w:style>
  <w:style w:type="character" w:customStyle="1" w:styleId="Heading1Char">
    <w:name w:val="Heading 1 Char"/>
    <w:basedOn w:val="DefaultParagraphFont"/>
    <w:link w:val="Heading1"/>
    <w:uiPriority w:val="9"/>
    <w:rsid w:val="00756E60"/>
    <w:rPr>
      <w:rFonts w:ascii="Arial" w:eastAsiaTheme="majorEastAsia" w:hAnsi="Arial" w:cstheme="majorBidi"/>
      <w:b/>
      <w:color w:val="D86018"/>
      <w:szCs w:val="32"/>
    </w:rPr>
  </w:style>
  <w:style w:type="paragraph" w:styleId="TOC1">
    <w:name w:val="toc 1"/>
    <w:basedOn w:val="Normal"/>
    <w:next w:val="Normal"/>
    <w:uiPriority w:val="39"/>
    <w:unhideWhenUsed/>
    <w:rsid w:val="00310C31"/>
    <w:pPr>
      <w:tabs>
        <w:tab w:val="left" w:pos="709"/>
        <w:tab w:val="right" w:leader="dot" w:pos="9016"/>
      </w:tabs>
      <w:spacing w:after="100"/>
    </w:pPr>
  </w:style>
  <w:style w:type="paragraph" w:styleId="TOCHeading">
    <w:name w:val="TOC Heading"/>
    <w:basedOn w:val="Heading1"/>
    <w:next w:val="Normal"/>
    <w:autoRedefine/>
    <w:uiPriority w:val="39"/>
    <w:unhideWhenUsed/>
    <w:qFormat/>
    <w:rsid w:val="00784E03"/>
    <w:pPr>
      <w:numPr>
        <w:numId w:val="0"/>
      </w:numPr>
      <w:spacing w:line="259" w:lineRule="auto"/>
    </w:pPr>
    <w:rPr>
      <w:lang w:val="en-US"/>
    </w:rPr>
  </w:style>
  <w:style w:type="character" w:styleId="Hyperlink">
    <w:name w:val="Hyperlink"/>
    <w:basedOn w:val="DefaultParagraphFont"/>
    <w:uiPriority w:val="99"/>
    <w:unhideWhenUsed/>
    <w:rsid w:val="00AD1F54"/>
    <w:rPr>
      <w:rFonts w:ascii="Arial" w:hAnsi="Arial"/>
      <w:b/>
      <w:color w:val="487A7B" w:themeColor="accent1"/>
      <w:sz w:val="18"/>
      <w:u w:val="single"/>
    </w:rPr>
  </w:style>
  <w:style w:type="character" w:customStyle="1" w:styleId="Heading2Char">
    <w:name w:val="Heading 2 Char"/>
    <w:basedOn w:val="DefaultParagraphFont"/>
    <w:link w:val="Heading2"/>
    <w:uiPriority w:val="9"/>
    <w:rsid w:val="00292A62"/>
    <w:rPr>
      <w:rFonts w:ascii="Arial" w:eastAsiaTheme="majorEastAsia" w:hAnsi="Arial" w:cstheme="majorBidi"/>
      <w:b/>
      <w:sz w:val="18"/>
      <w:szCs w:val="26"/>
    </w:rPr>
  </w:style>
  <w:style w:type="character" w:customStyle="1" w:styleId="Heading3Char">
    <w:name w:val="Heading 3 Char"/>
    <w:basedOn w:val="DefaultParagraphFont"/>
    <w:link w:val="Heading3"/>
    <w:uiPriority w:val="9"/>
    <w:rsid w:val="00AA1467"/>
    <w:rPr>
      <w:rFonts w:ascii="Arial" w:eastAsiaTheme="majorEastAsia" w:hAnsi="Arial" w:cstheme="majorBidi"/>
      <w:b/>
      <w:i/>
      <w:sz w:val="18"/>
      <w:szCs w:val="24"/>
    </w:rPr>
  </w:style>
  <w:style w:type="character" w:customStyle="1" w:styleId="Heading5Char">
    <w:name w:val="Heading 5 Char"/>
    <w:basedOn w:val="DefaultParagraphFont"/>
    <w:link w:val="Heading5"/>
    <w:uiPriority w:val="9"/>
    <w:rsid w:val="00292A62"/>
    <w:rPr>
      <w:rFonts w:ascii="Arial" w:eastAsiaTheme="majorEastAsia" w:hAnsi="Arial" w:cstheme="majorBidi"/>
      <w:b/>
      <w:bCs/>
      <w:i/>
      <w:iCs/>
      <w:sz w:val="18"/>
      <w:szCs w:val="24"/>
    </w:rPr>
  </w:style>
  <w:style w:type="character" w:customStyle="1" w:styleId="Heading4Char">
    <w:name w:val="Heading 4 Char"/>
    <w:basedOn w:val="DefaultParagraphFont"/>
    <w:link w:val="Heading4"/>
    <w:uiPriority w:val="9"/>
    <w:rsid w:val="00292A62"/>
    <w:rPr>
      <w:rFonts w:ascii="Arial" w:eastAsiaTheme="majorEastAsia" w:hAnsi="Arial" w:cstheme="majorBidi"/>
      <w:b/>
      <w:bCs/>
      <w:i/>
      <w:iCs/>
      <w:sz w:val="18"/>
      <w:szCs w:val="24"/>
    </w:rPr>
  </w:style>
  <w:style w:type="character" w:customStyle="1" w:styleId="Heading6Char">
    <w:name w:val="Heading 6 Char"/>
    <w:aliases w:val="Figure Char"/>
    <w:basedOn w:val="DefaultParagraphFont"/>
    <w:link w:val="Heading6"/>
    <w:uiPriority w:val="9"/>
    <w:rsid w:val="00865518"/>
    <w:rPr>
      <w:rFonts w:ascii="Arial" w:eastAsiaTheme="majorEastAsia" w:hAnsi="Arial" w:cs="Arial"/>
      <w:b/>
      <w:i/>
      <w:iCs/>
      <w:color w:val="7A8390" w:themeColor="accent6"/>
      <w:sz w:val="14"/>
      <w:szCs w:val="18"/>
    </w:rPr>
  </w:style>
  <w:style w:type="character" w:customStyle="1" w:styleId="Heading7Char">
    <w:name w:val="Heading 7 Char"/>
    <w:basedOn w:val="DefaultParagraphFont"/>
    <w:link w:val="Heading7"/>
    <w:uiPriority w:val="9"/>
    <w:semiHidden/>
    <w:rsid w:val="00315C2F"/>
    <w:rPr>
      <w:rFonts w:asciiTheme="majorHAnsi" w:eastAsiaTheme="majorEastAsia" w:hAnsiTheme="majorHAnsi" w:cstheme="majorBidi"/>
      <w:i/>
      <w:iCs/>
      <w:color w:val="636E8A" w:themeColor="text1" w:themeTint="BF"/>
    </w:rPr>
  </w:style>
  <w:style w:type="character" w:customStyle="1" w:styleId="Heading8Char">
    <w:name w:val="Heading 8 Char"/>
    <w:basedOn w:val="DefaultParagraphFont"/>
    <w:link w:val="Heading8"/>
    <w:uiPriority w:val="9"/>
    <w:semiHidden/>
    <w:rsid w:val="00315C2F"/>
    <w:rPr>
      <w:rFonts w:asciiTheme="majorHAnsi" w:eastAsiaTheme="majorEastAsia" w:hAnsiTheme="majorHAnsi" w:cstheme="majorBidi"/>
      <w:color w:val="636E8A" w:themeColor="text1" w:themeTint="BF"/>
      <w:sz w:val="20"/>
      <w:szCs w:val="20"/>
    </w:rPr>
  </w:style>
  <w:style w:type="character" w:customStyle="1" w:styleId="Heading9Char">
    <w:name w:val="Heading 9 Char"/>
    <w:basedOn w:val="DefaultParagraphFont"/>
    <w:link w:val="Heading9"/>
    <w:uiPriority w:val="9"/>
    <w:semiHidden/>
    <w:rsid w:val="00315C2F"/>
    <w:rPr>
      <w:rFonts w:asciiTheme="majorHAnsi" w:eastAsiaTheme="majorEastAsia" w:hAnsiTheme="majorHAnsi" w:cstheme="majorBidi"/>
      <w:i/>
      <w:iCs/>
      <w:color w:val="636E8A" w:themeColor="text1" w:themeTint="BF"/>
      <w:sz w:val="20"/>
      <w:szCs w:val="20"/>
    </w:rPr>
  </w:style>
  <w:style w:type="table" w:styleId="TableGrid">
    <w:name w:val="Table Grid"/>
    <w:basedOn w:val="TableNormal"/>
    <w:uiPriority w:val="39"/>
    <w:rsid w:val="0031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561E12"/>
    <w:rPr>
      <w:b/>
      <w:caps/>
    </w:rPr>
  </w:style>
  <w:style w:type="paragraph" w:styleId="BalloonText">
    <w:name w:val="Balloon Text"/>
    <w:basedOn w:val="Normal"/>
    <w:link w:val="BalloonTextChar"/>
    <w:uiPriority w:val="99"/>
    <w:semiHidden/>
    <w:unhideWhenUsed/>
    <w:rsid w:val="0029619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619A"/>
    <w:rPr>
      <w:rFonts w:ascii="Segoe UI" w:hAnsi="Segoe UI" w:cs="Segoe UI"/>
      <w:color w:val="333F48"/>
      <w:sz w:val="18"/>
      <w:szCs w:val="18"/>
    </w:rPr>
  </w:style>
  <w:style w:type="paragraph" w:customStyle="1" w:styleId="TableDataHeading">
    <w:name w:val="Table Data Heading"/>
    <w:basedOn w:val="Normal"/>
    <w:qFormat/>
    <w:rsid w:val="003F16F9"/>
    <w:pPr>
      <w:spacing w:before="80" w:after="80"/>
    </w:pPr>
    <w:rPr>
      <w:b/>
      <w:caps/>
    </w:rPr>
  </w:style>
  <w:style w:type="paragraph" w:styleId="Quote">
    <w:name w:val="Quote"/>
    <w:basedOn w:val="Normal"/>
    <w:next w:val="Normal"/>
    <w:link w:val="QuoteChar"/>
    <w:uiPriority w:val="29"/>
    <w:qFormat/>
    <w:rsid w:val="001051F4"/>
    <w:pPr>
      <w:spacing w:before="200" w:after="160"/>
      <w:ind w:left="864" w:right="864"/>
      <w:jc w:val="center"/>
    </w:pPr>
    <w:rPr>
      <w:i/>
      <w:iCs/>
      <w:color w:val="636E8A" w:themeColor="text1" w:themeTint="BF"/>
    </w:rPr>
  </w:style>
  <w:style w:type="character" w:customStyle="1" w:styleId="QuoteChar">
    <w:name w:val="Quote Char"/>
    <w:basedOn w:val="DefaultParagraphFont"/>
    <w:link w:val="Quote"/>
    <w:uiPriority w:val="29"/>
    <w:rsid w:val="001051F4"/>
    <w:rPr>
      <w:rFonts w:ascii="Arial" w:hAnsi="Arial"/>
      <w:i/>
      <w:iCs/>
      <w:color w:val="636E8A" w:themeColor="text1" w:themeTint="BF"/>
      <w:sz w:val="20"/>
    </w:rPr>
  </w:style>
  <w:style w:type="character" w:styleId="Strong">
    <w:name w:val="Strong"/>
    <w:basedOn w:val="DefaultParagraphFont"/>
    <w:uiPriority w:val="22"/>
    <w:qFormat/>
    <w:rsid w:val="00CA3616"/>
    <w:rPr>
      <w:b/>
      <w:bCs/>
    </w:rPr>
  </w:style>
  <w:style w:type="paragraph" w:customStyle="1" w:styleId="Disclaimer">
    <w:name w:val="Disclaimer"/>
    <w:basedOn w:val="Normal"/>
    <w:uiPriority w:val="99"/>
    <w:rsid w:val="00620270"/>
    <w:pPr>
      <w:suppressAutoHyphens/>
      <w:autoSpaceDE w:val="0"/>
      <w:autoSpaceDN w:val="0"/>
      <w:adjustRightInd w:val="0"/>
      <w:spacing w:after="113" w:line="288" w:lineRule="auto"/>
      <w:textAlignment w:val="center"/>
    </w:pPr>
    <w:rPr>
      <w:rFonts w:cs="Arial"/>
      <w:color w:val="000000"/>
      <w:spacing w:val="-1"/>
      <w:sz w:val="16"/>
      <w:szCs w:val="16"/>
      <w:lang w:val="en-GB"/>
    </w:rPr>
  </w:style>
  <w:style w:type="character" w:customStyle="1" w:styleId="Backpagecontactdetails">
    <w:name w:val="Back page contact details"/>
    <w:basedOn w:val="Strong"/>
    <w:uiPriority w:val="1"/>
    <w:qFormat/>
    <w:rsid w:val="002D469C"/>
    <w:rPr>
      <w:rFonts w:eastAsia="Calibri" w:cstheme="minorHAnsi"/>
      <w:b/>
      <w:bCs/>
      <w:noProof/>
      <w:color w:val="FFFFFF" w:themeColor="background1"/>
      <w:szCs w:val="20"/>
    </w:rPr>
  </w:style>
  <w:style w:type="paragraph" w:customStyle="1" w:styleId="AuthorandDate">
    <w:name w:val="Author and Date"/>
    <w:basedOn w:val="Normal"/>
    <w:autoRedefine/>
    <w:qFormat/>
    <w:rsid w:val="00E34646"/>
    <w:pPr>
      <w:spacing w:line="360" w:lineRule="exact"/>
    </w:pPr>
    <w:rPr>
      <w:rFonts w:cs="Arial"/>
      <w:b/>
      <w:color w:val="D86018"/>
      <w:sz w:val="28"/>
      <w:szCs w:val="28"/>
    </w:rPr>
  </w:style>
  <w:style w:type="paragraph" w:customStyle="1" w:styleId="BodyCopy">
    <w:name w:val="Body Copy"/>
    <w:basedOn w:val="Normal"/>
    <w:qFormat/>
    <w:rsid w:val="00523D40"/>
    <w:pPr>
      <w:spacing w:line="276" w:lineRule="auto"/>
    </w:pPr>
    <w:rPr>
      <w:color w:val="000000"/>
      <w:szCs w:val="24"/>
    </w:rPr>
  </w:style>
  <w:style w:type="paragraph" w:customStyle="1" w:styleId="Bullets">
    <w:name w:val="Bullets"/>
    <w:basedOn w:val="Normal"/>
    <w:qFormat/>
    <w:rsid w:val="00292A62"/>
    <w:pPr>
      <w:numPr>
        <w:numId w:val="5"/>
      </w:numPr>
      <w:spacing w:before="60" w:after="60" w:line="276" w:lineRule="auto"/>
      <w:ind w:left="284" w:hanging="284"/>
    </w:pPr>
  </w:style>
  <w:style w:type="paragraph" w:styleId="ListParagraph">
    <w:name w:val="List Paragraph"/>
    <w:aliases w:val="Lettered List"/>
    <w:basedOn w:val="BodyCopy"/>
    <w:link w:val="ListParagraphChar"/>
    <w:uiPriority w:val="34"/>
    <w:qFormat/>
    <w:rsid w:val="00312BBF"/>
    <w:pPr>
      <w:numPr>
        <w:numId w:val="9"/>
      </w:numPr>
      <w:spacing w:before="60" w:after="60"/>
      <w:ind w:left="284" w:hanging="284"/>
    </w:pPr>
    <w:rPr>
      <w:color w:val="auto"/>
    </w:rPr>
  </w:style>
  <w:style w:type="paragraph" w:customStyle="1" w:styleId="Normalindented">
    <w:name w:val="Normal indented"/>
    <w:basedOn w:val="Normal"/>
    <w:rsid w:val="00756E60"/>
    <w:pPr>
      <w:ind w:left="567"/>
    </w:pPr>
  </w:style>
  <w:style w:type="character" w:customStyle="1" w:styleId="ListParagraphChar">
    <w:name w:val="List Paragraph Char"/>
    <w:aliases w:val="Lettered List Char"/>
    <w:link w:val="ListParagraph"/>
    <w:uiPriority w:val="34"/>
    <w:locked/>
    <w:rsid w:val="00312BBF"/>
    <w:rPr>
      <w:rFonts w:ascii="Arial" w:hAnsi="Arial"/>
      <w:sz w:val="18"/>
      <w:szCs w:val="24"/>
    </w:rPr>
  </w:style>
  <w:style w:type="character" w:styleId="CommentReference">
    <w:name w:val="annotation reference"/>
    <w:basedOn w:val="DefaultParagraphFont"/>
    <w:uiPriority w:val="99"/>
    <w:semiHidden/>
    <w:unhideWhenUsed/>
    <w:rsid w:val="00620270"/>
    <w:rPr>
      <w:sz w:val="16"/>
      <w:szCs w:val="16"/>
    </w:rPr>
  </w:style>
  <w:style w:type="paragraph" w:styleId="CommentText">
    <w:name w:val="annotation text"/>
    <w:basedOn w:val="Normal"/>
    <w:link w:val="CommentTextChar"/>
    <w:uiPriority w:val="99"/>
    <w:semiHidden/>
    <w:unhideWhenUsed/>
    <w:rsid w:val="00620270"/>
    <w:pPr>
      <w:spacing w:after="160" w:line="276" w:lineRule="auto"/>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semiHidden/>
    <w:rsid w:val="00620270"/>
    <w:rPr>
      <w:rFonts w:eastAsiaTheme="minorEastAsia"/>
      <w:sz w:val="20"/>
      <w:szCs w:val="20"/>
      <w:lang w:eastAsia="en-AU"/>
    </w:rPr>
  </w:style>
  <w:style w:type="character" w:styleId="SubtleEmphasis">
    <w:name w:val="Subtle Emphasis"/>
    <w:basedOn w:val="DefaultParagraphFont"/>
    <w:uiPriority w:val="19"/>
    <w:rsid w:val="00620270"/>
    <w:rPr>
      <w:rFonts w:ascii="Arial" w:hAnsi="Arial"/>
      <w:i/>
      <w:iCs/>
      <w:color w:val="3D4455" w:themeColor="text1"/>
    </w:rPr>
  </w:style>
  <w:style w:type="paragraph" w:styleId="Title">
    <w:name w:val="Title"/>
    <w:basedOn w:val="Normal"/>
    <w:next w:val="Normal"/>
    <w:link w:val="TitleChar"/>
    <w:uiPriority w:val="10"/>
    <w:rsid w:val="007B25E2"/>
    <w:pPr>
      <w:spacing w:after="0"/>
      <w:contextualSpacing/>
    </w:pPr>
    <w:rPr>
      <w:rFonts w:asciiTheme="minorHAnsi" w:eastAsiaTheme="majorEastAsia" w:hAnsiTheme="minorHAnsi" w:cstheme="majorBidi"/>
      <w:spacing w:val="-10"/>
      <w:kern w:val="28"/>
      <w:sz w:val="44"/>
      <w:szCs w:val="56"/>
      <w:lang w:eastAsia="en-AU"/>
    </w:rPr>
  </w:style>
  <w:style w:type="character" w:customStyle="1" w:styleId="TitleChar">
    <w:name w:val="Title Char"/>
    <w:basedOn w:val="DefaultParagraphFont"/>
    <w:link w:val="Title"/>
    <w:uiPriority w:val="10"/>
    <w:rsid w:val="007B25E2"/>
    <w:rPr>
      <w:rFonts w:eastAsiaTheme="majorEastAsia" w:cstheme="majorBidi"/>
      <w:spacing w:val="-10"/>
      <w:kern w:val="28"/>
      <w:sz w:val="44"/>
      <w:szCs w:val="56"/>
      <w:lang w:eastAsia="en-AU"/>
    </w:rPr>
  </w:style>
  <w:style w:type="paragraph" w:styleId="Subtitle">
    <w:name w:val="Subtitle"/>
    <w:basedOn w:val="Normal"/>
    <w:next w:val="Normal"/>
    <w:link w:val="SubtitleChar"/>
    <w:uiPriority w:val="11"/>
    <w:rsid w:val="00620270"/>
    <w:pPr>
      <w:numPr>
        <w:ilvl w:val="1"/>
      </w:numPr>
      <w:spacing w:after="160" w:line="276" w:lineRule="auto"/>
    </w:pPr>
    <w:rPr>
      <w:rFonts w:eastAsiaTheme="minorEastAsia"/>
      <w:color w:val="75819C" w:themeColor="text1" w:themeTint="A5"/>
      <w:spacing w:val="15"/>
      <w:sz w:val="22"/>
    </w:rPr>
  </w:style>
  <w:style w:type="character" w:customStyle="1" w:styleId="SubtitleChar">
    <w:name w:val="Subtitle Char"/>
    <w:basedOn w:val="DefaultParagraphFont"/>
    <w:link w:val="Subtitle"/>
    <w:uiPriority w:val="11"/>
    <w:rsid w:val="00620270"/>
    <w:rPr>
      <w:rFonts w:ascii="Arial" w:eastAsiaTheme="minorEastAsia" w:hAnsi="Arial"/>
      <w:color w:val="75819C" w:themeColor="text1" w:themeTint="A5"/>
      <w:spacing w:val="15"/>
    </w:rPr>
  </w:style>
  <w:style w:type="paragraph" w:styleId="Caption">
    <w:name w:val="caption"/>
    <w:aliases w:val="SRA Caption"/>
    <w:basedOn w:val="Normal"/>
    <w:next w:val="BodyCopy"/>
    <w:uiPriority w:val="35"/>
    <w:unhideWhenUsed/>
    <w:qFormat/>
    <w:rsid w:val="00FA5633"/>
    <w:pPr>
      <w:spacing w:before="40" w:after="240"/>
    </w:pPr>
    <w:rPr>
      <w:rFonts w:eastAsiaTheme="minorEastAsia"/>
      <w:i/>
      <w:iCs/>
      <w:color w:val="7A8390" w:themeColor="accent6"/>
      <w:sz w:val="14"/>
      <w:szCs w:val="18"/>
      <w:lang w:eastAsia="en-AU"/>
    </w:rPr>
  </w:style>
  <w:style w:type="paragraph" w:styleId="TableofFigures">
    <w:name w:val="table of figures"/>
    <w:basedOn w:val="Normal"/>
    <w:next w:val="Normal"/>
    <w:uiPriority w:val="99"/>
    <w:unhideWhenUsed/>
    <w:rsid w:val="00FA2EE2"/>
    <w:pPr>
      <w:spacing w:after="0" w:line="259" w:lineRule="auto"/>
    </w:pPr>
    <w:rPr>
      <w:rFonts w:eastAsiaTheme="minorEastAsia"/>
      <w:lang w:eastAsia="en-AU"/>
    </w:rPr>
  </w:style>
  <w:style w:type="table" w:styleId="GridTable1Light">
    <w:name w:val="Grid Table 1 Light"/>
    <w:basedOn w:val="TableNormal"/>
    <w:uiPriority w:val="46"/>
    <w:rsid w:val="007B25E2"/>
    <w:pPr>
      <w:spacing w:after="0" w:line="240" w:lineRule="auto"/>
    </w:pPr>
    <w:tblPr>
      <w:tblStyleRowBandSize w:val="1"/>
      <w:tblStyleColBandSize w:val="1"/>
      <w:tblBorders>
        <w:top w:val="single" w:sz="4" w:space="0" w:color="AAB1C2" w:themeColor="text1" w:themeTint="66"/>
        <w:left w:val="single" w:sz="4" w:space="0" w:color="AAB1C2" w:themeColor="text1" w:themeTint="66"/>
        <w:bottom w:val="single" w:sz="4" w:space="0" w:color="AAB1C2" w:themeColor="text1" w:themeTint="66"/>
        <w:right w:val="single" w:sz="4" w:space="0" w:color="AAB1C2" w:themeColor="text1" w:themeTint="66"/>
        <w:insideH w:val="single" w:sz="4" w:space="0" w:color="AAB1C2" w:themeColor="text1" w:themeTint="66"/>
        <w:insideV w:val="single" w:sz="4" w:space="0" w:color="AAB1C2" w:themeColor="text1" w:themeTint="66"/>
      </w:tblBorders>
    </w:tblPr>
    <w:tblStylePr w:type="firstRow">
      <w:rPr>
        <w:b/>
        <w:bCs/>
      </w:rPr>
      <w:tblPr/>
      <w:tcPr>
        <w:tcBorders>
          <w:bottom w:val="single" w:sz="12" w:space="0" w:color="7F8AA3" w:themeColor="text1" w:themeTint="99"/>
        </w:tcBorders>
      </w:tcPr>
    </w:tblStylePr>
    <w:tblStylePr w:type="lastRow">
      <w:rPr>
        <w:b/>
        <w:bCs/>
      </w:rPr>
      <w:tblPr/>
      <w:tcPr>
        <w:tcBorders>
          <w:top w:val="double" w:sz="2" w:space="0" w:color="7F8AA3" w:themeColor="text1" w:themeTint="99"/>
        </w:tcBorders>
      </w:tcPr>
    </w:tblStylePr>
    <w:tblStylePr w:type="firstCol">
      <w:rPr>
        <w:b/>
        <w:bCs/>
      </w:rPr>
    </w:tblStylePr>
    <w:tblStylePr w:type="lastCol">
      <w:rPr>
        <w:b/>
        <w:bCs/>
      </w:rPr>
    </w:tblStylePr>
  </w:style>
  <w:style w:type="table" w:customStyle="1" w:styleId="SRATable">
    <w:name w:val="SRA Table"/>
    <w:basedOn w:val="TableNormal"/>
    <w:uiPriority w:val="99"/>
    <w:rsid w:val="00FA758D"/>
    <w:pPr>
      <w:spacing w:after="0" w:line="240" w:lineRule="auto"/>
    </w:pPr>
    <w:rPr>
      <w:rFonts w:ascii="Arial" w:hAnsi="Arial"/>
      <w:sz w:val="18"/>
    </w:rPr>
    <w:tblPr>
      <w:tblStyleRowBandSize w:val="1"/>
      <w:tbl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blBorders>
    </w:tblPr>
    <w:tcPr>
      <w:shd w:val="clear" w:color="auto" w:fill="auto"/>
      <w:vAlign w:val="center"/>
    </w:tcPr>
    <w:tblStylePr w:type="firstRow">
      <w:pPr>
        <w:jc w:val="left"/>
      </w:pPr>
      <w:rPr>
        <w:rFonts w:ascii="Arial" w:hAnsi="Arial"/>
        <w:b/>
        <w:sz w:val="18"/>
      </w:rPr>
      <w:tblPr>
        <w:tblCellMar>
          <w:top w:w="57" w:type="dxa"/>
          <w:left w:w="57" w:type="dxa"/>
          <w:bottom w:w="57" w:type="dxa"/>
          <w:right w:w="57" w:type="dxa"/>
        </w:tblCellMar>
      </w:tblPr>
      <w:tcPr>
        <w:tcBorders>
          <w:top w:val="single" w:sz="4" w:space="0" w:color="487A7B" w:themeColor="accent1"/>
          <w:left w:val="single" w:sz="4" w:space="0" w:color="487A7B" w:themeColor="accent1"/>
          <w:bottom w:val="single" w:sz="4" w:space="0" w:color="487A7B" w:themeColor="accent1"/>
          <w:right w:val="single" w:sz="4" w:space="0" w:color="487A7B" w:themeColor="accent1"/>
          <w:insideH w:val="single" w:sz="4" w:space="0" w:color="487A7B" w:themeColor="accent1"/>
          <w:insideV w:val="single" w:sz="4" w:space="0" w:color="487A7B" w:themeColor="accent1"/>
        </w:tcBorders>
        <w:shd w:val="clear" w:color="auto" w:fill="CBDCE0"/>
        <w:noWrap/>
      </w:tcPr>
    </w:tblStylePr>
    <w:tblStylePr w:type="lastRow">
      <w:pPr>
        <w:jc w:val="left"/>
      </w:pPr>
      <w:rPr>
        <w:rFonts w:ascii="Arial" w:hAnsi="Arial"/>
        <w:sz w:val="18"/>
      </w:rPr>
    </w:tblStylePr>
    <w:tblStylePr w:type="firstCol">
      <w:pPr>
        <w:jc w:val="left"/>
      </w:pPr>
    </w:tblStylePr>
    <w:tblStylePr w:type="lastCol">
      <w:pPr>
        <w:jc w:val="left"/>
      </w:pPr>
    </w:tblStylePr>
  </w:style>
  <w:style w:type="table" w:styleId="GridTable1Light-Accent1">
    <w:name w:val="Grid Table 1 Light Accent 1"/>
    <w:basedOn w:val="TableNormal"/>
    <w:uiPriority w:val="46"/>
    <w:rsid w:val="00292A62"/>
    <w:pPr>
      <w:spacing w:after="0" w:line="240" w:lineRule="auto"/>
    </w:pPr>
    <w:tblPr>
      <w:tblStyleRowBandSize w:val="1"/>
      <w:tblStyleColBandSize w:val="1"/>
      <w:tblBorders>
        <w:top w:val="single" w:sz="4" w:space="0" w:color="AFCFD0" w:themeColor="accent1" w:themeTint="66"/>
        <w:left w:val="single" w:sz="4" w:space="0" w:color="AFCFD0" w:themeColor="accent1" w:themeTint="66"/>
        <w:bottom w:val="single" w:sz="4" w:space="0" w:color="AFCFD0" w:themeColor="accent1" w:themeTint="66"/>
        <w:right w:val="single" w:sz="4" w:space="0" w:color="AFCFD0" w:themeColor="accent1" w:themeTint="66"/>
        <w:insideH w:val="single" w:sz="4" w:space="0" w:color="AFCFD0" w:themeColor="accent1" w:themeTint="66"/>
        <w:insideV w:val="single" w:sz="4" w:space="0" w:color="AFCFD0" w:themeColor="accent1" w:themeTint="66"/>
      </w:tblBorders>
    </w:tblPr>
    <w:tblStylePr w:type="firstRow">
      <w:rPr>
        <w:b/>
        <w:bCs/>
      </w:rPr>
      <w:tblPr/>
      <w:tcPr>
        <w:tcBorders>
          <w:bottom w:val="single" w:sz="12" w:space="0" w:color="87B8B9" w:themeColor="accent1" w:themeTint="99"/>
        </w:tcBorders>
      </w:tcPr>
    </w:tblStylePr>
    <w:tblStylePr w:type="lastRow">
      <w:rPr>
        <w:b/>
        <w:bCs/>
      </w:rPr>
      <w:tblPr/>
      <w:tcPr>
        <w:tcBorders>
          <w:top w:val="double" w:sz="2" w:space="0" w:color="87B8B9" w:themeColor="accent1" w:themeTint="99"/>
        </w:tcBorders>
      </w:tcPr>
    </w:tblStylePr>
    <w:tblStylePr w:type="firstCol">
      <w:rPr>
        <w:b/>
        <w:bCs/>
      </w:rPr>
    </w:tblStylePr>
    <w:tblStylePr w:type="lastCol">
      <w:rPr>
        <w:b/>
        <w:bCs/>
      </w:rPr>
    </w:tblStylePr>
  </w:style>
  <w:style w:type="paragraph" w:customStyle="1" w:styleId="NumberedList">
    <w:name w:val="Numbered List"/>
    <w:basedOn w:val="Bullets"/>
    <w:rsid w:val="00661CA8"/>
    <w:pPr>
      <w:numPr>
        <w:numId w:val="23"/>
      </w:numPr>
      <w:ind w:left="340" w:hanging="340"/>
    </w:pPr>
  </w:style>
  <w:style w:type="table" w:customStyle="1" w:styleId="TableGrid16">
    <w:name w:val="Table Grid16"/>
    <w:basedOn w:val="TableNormal"/>
    <w:next w:val="TableGrid"/>
    <w:uiPriority w:val="39"/>
    <w:rsid w:val="0072530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garresearch.com.au/wp-content/uploads/2017/06/Nitrogen-Results-17-F.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garresearch.com.au/wp-content/uploads/2017/06/Nitrogen-Results-17-F.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anwijk\Downloads\SRA%20Document%20Generic%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Work%20(home)\SRA-DES\Final%20Drafts\201027%20CBA%202015-069%20(Draf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00485041902935"/>
          <c:y val="3.9811798769453489E-2"/>
          <c:w val="0.84588015159142504"/>
          <c:h val="0.70490993186112305"/>
        </c:manualLayout>
      </c:layout>
      <c:lineChart>
        <c:grouping val="standard"/>
        <c:varyColors val="0"/>
        <c:ser>
          <c:idx val="1"/>
          <c:order val="0"/>
          <c:tx>
            <c:strRef>
              <c:f>CBA!$A$106</c:f>
              <c:strCache>
                <c:ptCount val="1"/>
                <c:pt idx="0">
                  <c:v>Undiscounted Costs</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cat>
            <c:numRef>
              <c:f>CBA!$D$104:$AM$104</c:f>
              <c:numCache>
                <c:formatCode>General</c:formatCode>
                <c:ptCount val="3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numCache>
            </c:numRef>
          </c:cat>
          <c:val>
            <c:numRef>
              <c:f>CBA!$D$106:$AM$106</c:f>
              <c:numCache>
                <c:formatCode>#,##0</c:formatCode>
                <c:ptCount val="36"/>
                <c:pt idx="0">
                  <c:v>0</c:v>
                </c:pt>
                <c:pt idx="1">
                  <c:v>372673.77572244348</c:v>
                </c:pt>
                <c:pt idx="2">
                  <c:v>412585.67555997061</c:v>
                </c:pt>
                <c:pt idx="3">
                  <c:v>450031.73718084517</c:v>
                </c:pt>
                <c:pt idx="4">
                  <c:v>163584.35790422303</c:v>
                </c:pt>
                <c:pt idx="5">
                  <c:v>146743.55271816495</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numCache>
            </c:numRef>
          </c:val>
          <c:smooth val="0"/>
          <c:extLst>
            <c:ext xmlns:c16="http://schemas.microsoft.com/office/drawing/2014/chart" uri="{C3380CC4-5D6E-409C-BE32-E72D297353CC}">
              <c16:uniqueId val="{00000000-8068-4AC3-88C3-F85F7B81B300}"/>
            </c:ext>
          </c:extLst>
        </c:ser>
        <c:ser>
          <c:idx val="0"/>
          <c:order val="1"/>
          <c:tx>
            <c:strRef>
              <c:f>CBA!$A$105</c:f>
              <c:strCache>
                <c:ptCount val="1"/>
                <c:pt idx="0">
                  <c:v>Undiscounted Benefits</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cat>
            <c:numRef>
              <c:f>CBA!$D$104:$AM$104</c:f>
              <c:numCache>
                <c:formatCode>General</c:formatCode>
                <c:ptCount val="3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pt idx="27">
                  <c:v>2042</c:v>
                </c:pt>
                <c:pt idx="28">
                  <c:v>2043</c:v>
                </c:pt>
                <c:pt idx="29">
                  <c:v>2044</c:v>
                </c:pt>
                <c:pt idx="30">
                  <c:v>2045</c:v>
                </c:pt>
                <c:pt idx="31">
                  <c:v>2046</c:v>
                </c:pt>
                <c:pt idx="32">
                  <c:v>2047</c:v>
                </c:pt>
                <c:pt idx="33">
                  <c:v>2048</c:v>
                </c:pt>
                <c:pt idx="34">
                  <c:v>2049</c:v>
                </c:pt>
                <c:pt idx="35">
                  <c:v>2050</c:v>
                </c:pt>
              </c:numCache>
            </c:numRef>
          </c:cat>
          <c:val>
            <c:numRef>
              <c:f>CBA!$D$105:$AM$105</c:f>
              <c:numCache>
                <c:formatCode>#,##0</c:formatCode>
                <c:ptCount val="36"/>
                <c:pt idx="0">
                  <c:v>0</c:v>
                </c:pt>
                <c:pt idx="1">
                  <c:v>0</c:v>
                </c:pt>
                <c:pt idx="2">
                  <c:v>0</c:v>
                </c:pt>
                <c:pt idx="3">
                  <c:v>0</c:v>
                </c:pt>
                <c:pt idx="4">
                  <c:v>0</c:v>
                </c:pt>
                <c:pt idx="5">
                  <c:v>0</c:v>
                </c:pt>
                <c:pt idx="6">
                  <c:v>91870.77427200001</c:v>
                </c:pt>
                <c:pt idx="7">
                  <c:v>183741.54854400002</c:v>
                </c:pt>
                <c:pt idx="8">
                  <c:v>275612.32281599997</c:v>
                </c:pt>
                <c:pt idx="9">
                  <c:v>367483.09708800004</c:v>
                </c:pt>
                <c:pt idx="10">
                  <c:v>459353.87135999999</c:v>
                </c:pt>
                <c:pt idx="11">
                  <c:v>459353.87135999999</c:v>
                </c:pt>
                <c:pt idx="12">
                  <c:v>367483.09708800004</c:v>
                </c:pt>
                <c:pt idx="13">
                  <c:v>275612.32281599997</c:v>
                </c:pt>
                <c:pt idx="14">
                  <c:v>183741.54854400002</c:v>
                </c:pt>
                <c:pt idx="15">
                  <c:v>91870.77427200001</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numCache>
            </c:numRef>
          </c:val>
          <c:smooth val="0"/>
          <c:extLst>
            <c:ext xmlns:c16="http://schemas.microsoft.com/office/drawing/2014/chart" uri="{C3380CC4-5D6E-409C-BE32-E72D297353CC}">
              <c16:uniqueId val="{00000001-8068-4AC3-88C3-F85F7B81B300}"/>
            </c:ext>
          </c:extLst>
        </c:ser>
        <c:dLbls>
          <c:showLegendKey val="0"/>
          <c:showVal val="0"/>
          <c:showCatName val="0"/>
          <c:showSerName val="0"/>
          <c:showPercent val="0"/>
          <c:showBubbleSize val="0"/>
        </c:dLbls>
        <c:marker val="1"/>
        <c:smooth val="0"/>
        <c:axId val="1369136783"/>
        <c:axId val="1293957439"/>
      </c:lineChart>
      <c:catAx>
        <c:axId val="1369136783"/>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r>
                  <a:rPr lang="en-AU">
                    <a:solidFill>
                      <a:schemeClr val="tx2"/>
                    </a:solidFill>
                  </a:rPr>
                  <a:t>Year</a:t>
                </a:r>
              </a:p>
            </c:rich>
          </c:tx>
          <c:layout>
            <c:manualLayout>
              <c:xMode val="edge"/>
              <c:yMode val="edge"/>
              <c:x val="0.46262027107890163"/>
              <c:y val="0.8506362193325183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1293957439"/>
        <c:crosses val="autoZero"/>
        <c:auto val="1"/>
        <c:lblAlgn val="ctr"/>
        <c:lblOffset val="100"/>
        <c:noMultiLvlLbl val="0"/>
      </c:catAx>
      <c:valAx>
        <c:axId val="1293957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r>
                  <a:rPr lang="en-AU">
                    <a:solidFill>
                      <a:schemeClr val="tx2"/>
                    </a:solidFill>
                  </a:rPr>
                  <a:t>Cash Flow ($)</a:t>
                </a:r>
              </a:p>
            </c:rich>
          </c:tx>
          <c:layout>
            <c:manualLayout>
              <c:xMode val="edge"/>
              <c:yMode val="edge"/>
              <c:x val="1.9767862350539518E-2"/>
              <c:y val="0.2809980872454764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13691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3D4455"/>
      </a:dk1>
      <a:lt1>
        <a:srgbClr val="FFFFFF"/>
      </a:lt1>
      <a:dk2>
        <a:srgbClr val="3D4455"/>
      </a:dk2>
      <a:lt2>
        <a:srgbClr val="FFFFFF"/>
      </a:lt2>
      <a:accent1>
        <a:srgbClr val="487A7B"/>
      </a:accent1>
      <a:accent2>
        <a:srgbClr val="D86018"/>
      </a:accent2>
      <a:accent3>
        <a:srgbClr val="0C2340"/>
      </a:accent3>
      <a:accent4>
        <a:srgbClr val="7A9A01"/>
      </a:accent4>
      <a:accent5>
        <a:srgbClr val="C5A900"/>
      </a:accent5>
      <a:accent6>
        <a:srgbClr val="7A8390"/>
      </a:accent6>
      <a:hlink>
        <a:srgbClr val="00C1D5"/>
      </a:hlink>
      <a:folHlink>
        <a:srgbClr val="B46B7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Bro17</b:Tag>
    <b:SourceType>Report</b:SourceType>
    <b:Guid>{06B7561B-2B03-4260-A23B-E69437981672}</b:Guid>
    <b:Title>Development of basin-specific ecologically relevant water quality targets for the Great Barrier Reef</b:Title>
    <b:Year>2017</b:Year>
    <b:URL>https://www.reefplan.qld.gov.au/__data/assets/pdf_file/0025/46096/gbr-water-quality-targets-june2017.pdf</b:URL>
    <b:Publisher>TropWater: Centre for Tropical Water and Aquatic Ecosystem Research &amp; James Cook University</b:Publisher>
    <b:City>Townsville QLD</b:City>
    <b:Author>
      <b:Author>
        <b:NameList>
          <b:Person>
            <b:Last>Brodie</b:Last>
            <b:First>Jon</b:First>
          </b:Person>
          <b:Person>
            <b:Last>Baird</b:Last>
            <b:First>Mark</b:First>
          </b:Person>
          <b:Person>
            <b:Last>Waterhouse</b:Last>
            <b:First>Jane</b:First>
          </b:Person>
          <b:Person>
            <b:Last>Mongin</b:Last>
            <b:First>Mathieu</b:First>
          </b:Person>
          <b:Person>
            <b:Last>Skerratt</b:Last>
            <b:First>Jenny</b:First>
          </b:Person>
          <b:Person>
            <b:Last>Robillot</b:Last>
            <b:First>Cedric</b:First>
          </b:Person>
          <b:Person>
            <b:Last>Smith</b:Last>
            <b:First>Rachael</b:First>
          </b:Person>
          <b:Person>
            <b:Last>Mann</b:Last>
            <b:First>Reinier</b:First>
          </b:Person>
          <b:Person>
            <b:Last>Warne</b:Last>
            <b:First>Michael</b:First>
          </b:Person>
        </b:NameList>
      </b:Author>
    </b:Author>
    <b:YearAccessed>2020</b:YearAccessed>
    <b:MonthAccessed>October</b:MonthAccessed>
    <b:RefOrder>1</b:RefOrder>
  </b:Source>
  <b:Source>
    <b:Tag>Bel14</b:Tag>
    <b:SourceType>Report</b:SourceType>
    <b:Guid>{A4659279-8D6D-424E-8649-145FCB61BAC6}</b:Guid>
    <b:Title>A review of nitrogen use efficiency in sugarcane</b:Title>
    <b:Year>2014</b:Year>
    <b:Publisher>Sugar Research Australia Ltd</b:Publisher>
    <b:City>Brisbane QLD</b:City>
    <b:Author>
      <b:Author>
        <b:NameList>
          <b:Person>
            <b:Last>Bell</b:Last>
            <b:Middle>J</b:Middle>
            <b:First>M</b:First>
          </b:Person>
        </b:NameList>
      </b:Author>
    </b:Author>
    <b:YearAccessed>2020</b:YearAccessed>
    <b:MonthAccessed>October</b:MonthAccessed>
    <b:URL>https://sugarresearch.com.au/wp-content/uploads/2017/05/A-review-of-nitrogen-use-efficiency-in-sugarcane.pdf</b:URL>
    <b:RefOrder>2</b:RefOrder>
  </b:Source>
  <b:Source>
    <b:Tag>Aus203</b:Tag>
    <b:SourceType>InternetSite</b:SourceType>
    <b:Guid>{4F80F410-BCCA-4064-92D5-8810E10DC92F}</b:Guid>
    <b:Title>Australian National Accounts: National Income, Expenditure and Product - Quarterly estimates of key economic flows in Australia, including gross domestic product (GDP), consumption, investment, income and saving</b:Title>
    <b:Year>2020</b:Year>
    <b:Author>
      <b:Author>
        <b:Corporate>Australian Bureau of Statistics</b:Corporate>
      </b:Author>
    </b:Author>
    <b:InternetSiteTitle>Australian Bureau of Statistics</b:InternetSiteTitle>
    <b:Month>September</b:Month>
    <b:Day>2</b:Day>
    <b:URL>https://www.abs.gov.au/statistics/economy/national-accounts/australian-national-accounts-national-income-expenditure-and-product/latest-release#data-download</b:URL>
    <b:YearAccessed>2020</b:YearAccessed>
    <b:MonthAccessed>October</b:MonthAccessed>
    <b:Comments>Table 5. Expenditure on Gross Domestic Product (GDP), Implicit price deflators</b:Comments>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Use for generic SRA documents, July 2021</RoutingRuleDescription>
    <Related_x0020_Information xmlns="b5fd1fc7-a5f8-4958-97e3-adc13db002dd">
      <Url xsi:nil="true"/>
      <Description xsi:nil="true"/>
    </Related_x0020_Information>
  </documentManagement>
</p:properties>
</file>

<file path=customXml/item4.xml><?xml version="1.0" encoding="utf-8"?>
<ct:contentTypeSchema xmlns:ct="http://schemas.microsoft.com/office/2006/metadata/contentType" xmlns:ma="http://schemas.microsoft.com/office/2006/metadata/properties/metaAttributes" ct:_="" ma:_="" ma:contentTypeName="SRA Report" ma:contentTypeID="0x0101008B89F85EEE481740B05957A682E2E11C00676247E5DBA01844B7B5F56F7CD05B16" ma:contentTypeVersion="6" ma:contentTypeDescription="SRA Report Template" ma:contentTypeScope="" ma:versionID="37f2190f9fd68fd512a22d0f7212afa8">
  <xsd:schema xmlns:xsd="http://www.w3.org/2001/XMLSchema" xmlns:xs="http://www.w3.org/2001/XMLSchema" xmlns:p="http://schemas.microsoft.com/office/2006/metadata/properties" xmlns:ns1="http://schemas.microsoft.com/sharepoint/v3" xmlns:ns2="b5fd1fc7-a5f8-4958-97e3-adc13db002dd" targetNamespace="http://schemas.microsoft.com/office/2006/metadata/properties" ma:root="true" ma:fieldsID="a09573b2a618ce43ebc72f3c2a3759cd" ns1:_="" ns2:_="">
    <xsd:import namespace="http://schemas.microsoft.com/sharepoint/v3"/>
    <xsd:import namespace="b5fd1fc7-a5f8-4958-97e3-adc13db002dd"/>
    <xsd:element name="properties">
      <xsd:complexType>
        <xsd:sequence>
          <xsd:element name="documentManagement">
            <xsd:complexType>
              <xsd:all>
                <xsd:element ref="ns1:RoutingRuleDescription"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fd1fc7-a5f8-4958-97e3-adc13db002dd" elementFormDefault="qualified">
    <xsd:import namespace="http://schemas.microsoft.com/office/2006/documentManagement/types"/>
    <xsd:import namespace="http://schemas.microsoft.com/office/infopath/2007/PartnerControls"/>
    <xsd:element name="Related_x0020_Information" ma:index="9" nillable="true" ma:displayName="Related Information" ma:description="Used to link to related information for a template" ma:format="Hyperlink" ma:internalName="Related_x0020_Information"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503D3-B67F-4D55-9084-9EC9B0245749}">
  <ds:schemaRefs>
    <ds:schemaRef ds:uri="http://schemas.openxmlformats.org/officeDocument/2006/bibliography"/>
  </ds:schemaRefs>
</ds:datastoreItem>
</file>

<file path=customXml/itemProps2.xml><?xml version="1.0" encoding="utf-8"?>
<ds:datastoreItem xmlns:ds="http://schemas.openxmlformats.org/officeDocument/2006/customXml" ds:itemID="{77DFBAFE-336F-48D6-97EA-DCC25791CCCF}">
  <ds:schemaRefs>
    <ds:schemaRef ds:uri="http://schemas.microsoft.com/sharepoint/v3/contenttype/forms"/>
  </ds:schemaRefs>
</ds:datastoreItem>
</file>

<file path=customXml/itemProps3.xml><?xml version="1.0" encoding="utf-8"?>
<ds:datastoreItem xmlns:ds="http://schemas.openxmlformats.org/officeDocument/2006/customXml" ds:itemID="{C8B41109-8DFA-452F-93B6-3A57969B9DF3}">
  <ds:schemaRefs>
    <ds:schemaRef ds:uri="http://schemas.microsoft.com/office/2006/metadata/properties"/>
    <ds:schemaRef ds:uri="http://schemas.microsoft.com/office/infopath/2007/PartnerControls"/>
    <ds:schemaRef ds:uri="http://schemas.microsoft.com/sharepoint/v3"/>
    <ds:schemaRef ds:uri="b5fd1fc7-a5f8-4958-97e3-adc13db002dd"/>
  </ds:schemaRefs>
</ds:datastoreItem>
</file>

<file path=customXml/itemProps4.xml><?xml version="1.0" encoding="utf-8"?>
<ds:datastoreItem xmlns:ds="http://schemas.openxmlformats.org/officeDocument/2006/customXml" ds:itemID="{D0CEFD4C-55BF-417A-8DC6-4E9C797E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fd1fc7-a5f8-4958-97e3-adc13db00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SRA Document Generic (2)</Template>
  <TotalTime>111</TotalTime>
  <Pages>20</Pages>
  <Words>9404</Words>
  <Characters>53609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Van Wijk</dc:creator>
  <cp:keywords/>
  <dc:description/>
  <cp:lastModifiedBy>Yolanda Van Wijk</cp:lastModifiedBy>
  <cp:revision>4</cp:revision>
  <cp:lastPrinted>2020-01-15T02:50:00Z</cp:lastPrinted>
  <dcterms:created xsi:type="dcterms:W3CDTF">2021-12-07T03:25:00Z</dcterms:created>
  <dcterms:modified xsi:type="dcterms:W3CDTF">2021-12-08T04:03:00Z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0x0101008B89F85EEE481740B05957A682E2E11C00676247E5DBA01844B7B5F56F7CD05B16</vt:lpwstr>
  </property>
</Properties>
</file>